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40" w:rsidRDefault="00870C40" w:rsidP="00870C40">
      <w:pPr>
        <w:pStyle w:val="CM-conference"/>
      </w:pPr>
      <w:r>
        <w:t xml:space="preserve">Construction </w:t>
      </w:r>
      <w:proofErr w:type="spellStart"/>
      <w:r>
        <w:t>Maeconomics</w:t>
      </w:r>
      <w:proofErr w:type="spellEnd"/>
      <w:r>
        <w:t xml:space="preserve"> Conference 2018</w:t>
      </w:r>
    </w:p>
    <w:sdt>
      <w:sdtPr>
        <w:alias w:val="Title"/>
        <w:tag w:val="Title"/>
        <w:id w:val="937718043"/>
        <w:placeholder>
          <w:docPart w:val="29AD3156C048445AA5BD4ABA44CCDE9C"/>
        </w:placeholder>
      </w:sdtPr>
      <w:sdtEndPr/>
      <w:sdtContent>
        <w:p w:rsidR="00870C40" w:rsidRDefault="00870C40" w:rsidP="00870C40">
          <w:pPr>
            <w:pStyle w:val="CM-title"/>
          </w:pPr>
          <w:r>
            <w:t>Exceeding of approved budgets of public construction projects, according to categories of buildings</w:t>
          </w:r>
        </w:p>
      </w:sdtContent>
    </w:sdt>
    <w:sdt>
      <w:sdtPr>
        <w:alias w:val="Author"/>
        <w:tag w:val="Author"/>
        <w:id w:val="437415530"/>
        <w:placeholder>
          <w:docPart w:val="29AD3156C048445AA5BD4ABA44CCDE9C"/>
        </w:placeholder>
      </w:sdtPr>
      <w:sdtEndPr>
        <w:rPr>
          <w:vertAlign w:val="superscript"/>
        </w:rPr>
      </w:sdtEndPr>
      <w:sdtContent>
        <w:p w:rsidR="00870C40" w:rsidRDefault="00870C40" w:rsidP="00870C40">
          <w:pPr>
            <w:pStyle w:val="CM-author"/>
          </w:pPr>
          <w:r>
            <w:t>Jakub Stuchlík*</w:t>
          </w:r>
          <w:r>
            <w:rPr>
              <w:vertAlign w:val="superscript"/>
            </w:rPr>
            <w:t>1</w:t>
          </w:r>
          <w:r>
            <w:t>, Jana Frková</w:t>
          </w:r>
          <w:r>
            <w:rPr>
              <w:vertAlign w:val="superscript"/>
            </w:rPr>
            <w:t>2</w:t>
          </w:r>
        </w:p>
      </w:sdtContent>
    </w:sdt>
    <w:p w:rsidR="00870C40" w:rsidRPr="00177373" w:rsidRDefault="00870C40" w:rsidP="00870C40">
      <w:pPr>
        <w:pStyle w:val="CM-authoraffiliation"/>
        <w:rPr>
          <w:noProof/>
        </w:rPr>
      </w:pPr>
      <w:r w:rsidRPr="00177373">
        <w:rPr>
          <w:noProof/>
          <w:vertAlign w:val="superscript"/>
        </w:rPr>
        <w:t>1</w:t>
      </w:r>
      <w:r w:rsidRPr="00177373">
        <w:rPr>
          <w:noProof/>
        </w:rPr>
        <w:t>Czech Technical University in Prague, Faculty of Civil Engineering, Thákurova 7, Praha 6, 166 29, Czech Republic, stuchlik.js@gmail.com</w:t>
      </w:r>
    </w:p>
    <w:p w:rsidR="00870C40" w:rsidRPr="00177373" w:rsidRDefault="00870C40" w:rsidP="00870C40">
      <w:pPr>
        <w:pStyle w:val="CM-authoraffiliation"/>
        <w:rPr>
          <w:noProof/>
        </w:rPr>
      </w:pPr>
      <w:r w:rsidRPr="00177373">
        <w:rPr>
          <w:noProof/>
          <w:vertAlign w:val="superscript"/>
        </w:rPr>
        <w:t>2</w:t>
      </w:r>
      <w:r w:rsidRPr="00177373">
        <w:rPr>
          <w:noProof/>
        </w:rPr>
        <w:t xml:space="preserve">Czech Technical University in Prague, Faculty of Civil Engineering, Thákurova 7, Praha 6, 166 29, Czech Republic, e-mail address, </w:t>
      </w:r>
      <w:hyperlink r:id="rId8" w:history="1">
        <w:r w:rsidRPr="00177373">
          <w:rPr>
            <w:noProof/>
          </w:rPr>
          <w:t>frkova@fsv.cvut.cz</w:t>
        </w:r>
      </w:hyperlink>
    </w:p>
    <w:p w:rsidR="00870C40" w:rsidRDefault="00870C40" w:rsidP="00870C40">
      <w:pPr>
        <w:pStyle w:val="CM-referencesheading"/>
      </w:pPr>
      <w:r w:rsidRPr="00201560">
        <w:t>Abstract</w:t>
      </w:r>
    </w:p>
    <w:p w:rsidR="00870C40" w:rsidRPr="00C94B6C" w:rsidRDefault="00161937" w:rsidP="00870C40">
      <w:pPr>
        <w:pStyle w:val="CM-abstractbody"/>
        <w:rPr>
          <w:bCs/>
          <w:szCs w:val="24"/>
        </w:rPr>
      </w:pPr>
      <w:sdt>
        <w:sdtPr>
          <w:alias w:val="Abstract"/>
          <w:tag w:val="Abstract"/>
          <w:id w:val="572170275"/>
          <w:placeholder>
            <w:docPart w:val="74A4A0F697114F3C988EEE7D915A4EEC"/>
          </w:placeholder>
        </w:sdtPr>
        <w:sdtEndPr/>
        <w:sdtContent>
          <w:r w:rsidR="00870C40" w:rsidRPr="00177373">
            <w:rPr>
              <w:rFonts w:eastAsia="Times New Roman" w:cs="Times New Roman"/>
              <w:color w:val="000000"/>
              <w:szCs w:val="24"/>
            </w:rPr>
            <w:t xml:space="preserve">This article presents results of an analysis of key drawbacks in financing of construction projects from public sources in the Czech Republic. A sample of 194 </w:t>
          </w:r>
          <w:r w:rsidR="00870C40" w:rsidRPr="00177373">
            <w:rPr>
              <w:bCs/>
              <w:szCs w:val="24"/>
            </w:rPr>
            <w:t xml:space="preserve">public buildings that were constructed between the years 2008 and 2018 were categorized according to their purpose, architectural similarity and building technology and were analyzed for the most frequent causes of the delay in construction completion and increase in a final cost. More specifically, the buildings were classified into four categories: 1) </w:t>
          </w:r>
          <w:r w:rsidR="00870C40" w:rsidRPr="00177373">
            <w:rPr>
              <w:b/>
              <w:bCs/>
              <w:szCs w:val="24"/>
            </w:rPr>
            <w:t>transport structures</w:t>
          </w:r>
          <w:r w:rsidR="00870C40" w:rsidRPr="00177373">
            <w:rPr>
              <w:bCs/>
              <w:szCs w:val="24"/>
            </w:rPr>
            <w:t xml:space="preserve">, e.g. roads, motorways, etc., 2) </w:t>
          </w:r>
          <w:r w:rsidR="00870C40" w:rsidRPr="00177373">
            <w:rPr>
              <w:b/>
              <w:bCs/>
              <w:szCs w:val="24"/>
            </w:rPr>
            <w:t>water management structures</w:t>
          </w:r>
          <w:r w:rsidR="00870C40" w:rsidRPr="00177373">
            <w:rPr>
              <w:bCs/>
              <w:szCs w:val="24"/>
            </w:rPr>
            <w:t xml:space="preserve">, e.g. ponds, watercourses, etc., 3) </w:t>
          </w:r>
          <w:r w:rsidR="00870C40" w:rsidRPr="00177373">
            <w:rPr>
              <w:b/>
              <w:bCs/>
              <w:szCs w:val="24"/>
            </w:rPr>
            <w:t>technological structures</w:t>
          </w:r>
          <w:r w:rsidR="00870C40" w:rsidRPr="00177373">
            <w:rPr>
              <w:bCs/>
              <w:szCs w:val="24"/>
            </w:rPr>
            <w:t xml:space="preserve">, e.g. power plants, sewage treatment plants, etc., and 4) </w:t>
          </w:r>
          <w:r w:rsidR="00870C40" w:rsidRPr="00177373">
            <w:rPr>
              <w:b/>
              <w:bCs/>
              <w:szCs w:val="24"/>
            </w:rPr>
            <w:t>other ground structures</w:t>
          </w:r>
          <w:r w:rsidR="00870C40" w:rsidRPr="00177373">
            <w:rPr>
              <w:bCs/>
              <w:szCs w:val="24"/>
            </w:rPr>
            <w:t>, such as schools, apartment buildings etc. In summary, the most frequent reasons for non-compliance with the project budget are, for example, extra work, insufficient geological survey of the building, errors and changes in project documentation, budget deficiencies, or changes in technology during construction.</w:t>
          </w:r>
        </w:sdtContent>
      </w:sdt>
      <w:r w:rsidR="00870C40" w:rsidRPr="00177373">
        <w:rPr>
          <w:rFonts w:eastAsia="Times New Roman" w:cs="Times New Roman"/>
          <w:color w:val="000000"/>
          <w:szCs w:val="24"/>
        </w:rPr>
        <w:t xml:space="preserve">   </w:t>
      </w:r>
    </w:p>
    <w:p w:rsidR="00870C40" w:rsidRDefault="00870C40" w:rsidP="00870C40">
      <w:pPr>
        <w:pStyle w:val="CM-keywordsheading"/>
      </w:pPr>
      <w:r w:rsidRPr="00201560">
        <w:t>Keywords</w:t>
      </w:r>
    </w:p>
    <w:sdt>
      <w:sdtPr>
        <w:rPr>
          <w:lang w:val="cs-CZ"/>
        </w:rPr>
        <w:alias w:val="Keywords"/>
        <w:tag w:val="Keywords"/>
        <w:id w:val="-773168606"/>
        <w:placeholder>
          <w:docPart w:val="62277A96786F4E4E8E72A207B7975574"/>
        </w:placeholder>
      </w:sdtPr>
      <w:sdtEndPr>
        <w:rPr>
          <w:lang w:val="en-US"/>
        </w:rPr>
      </w:sdtEndPr>
      <w:sdtContent>
        <w:p w:rsidR="00870C40" w:rsidRPr="00C94B6C" w:rsidRDefault="00870C40" w:rsidP="00870C40">
          <w:pPr>
            <w:pStyle w:val="CM-keywords"/>
            <w:rPr>
              <w:bCs/>
              <w:color w:val="000000"/>
            </w:rPr>
          </w:pPr>
          <w:r w:rsidRPr="00177373">
            <w:rPr>
              <w:bCs/>
              <w:szCs w:val="24"/>
            </w:rPr>
            <w:t>Public building project; budget; non-compliance with the contract price</w:t>
          </w:r>
        </w:p>
      </w:sdtContent>
    </w:sdt>
    <w:p w:rsidR="00870C40" w:rsidRDefault="00870C40" w:rsidP="00870C40">
      <w:pPr>
        <w:pStyle w:val="CM-body"/>
        <w:rPr>
          <w:rFonts w:ascii="Calibri" w:eastAsiaTheme="majorEastAsia" w:hAnsi="Calibri" w:cstheme="majorBidi"/>
          <w:sz w:val="32"/>
          <w:szCs w:val="32"/>
        </w:rPr>
      </w:pPr>
      <w:r>
        <w:t xml:space="preserve"> </w:t>
      </w:r>
      <w:r>
        <w:br w:type="page"/>
      </w:r>
    </w:p>
    <w:p w:rsidR="00C114E8" w:rsidRPr="00870C40" w:rsidRDefault="00C114E8" w:rsidP="00870C40">
      <w:pPr>
        <w:pStyle w:val="CM-heading1"/>
      </w:pPr>
      <w:r w:rsidRPr="00870C40">
        <w:lastRenderedPageBreak/>
        <w:t>Introduction</w:t>
      </w:r>
    </w:p>
    <w:p w:rsidR="00B27EAE" w:rsidRPr="00870C40" w:rsidRDefault="002F70FA" w:rsidP="00870C40">
      <w:pPr>
        <w:spacing w:after="120"/>
        <w:ind w:firstLine="708"/>
        <w:jc w:val="both"/>
        <w:rPr>
          <w:rFonts w:eastAsiaTheme="minorHAnsi"/>
          <w:sz w:val="22"/>
          <w:lang w:val="en-US" w:eastAsia="en-US"/>
        </w:rPr>
      </w:pPr>
      <w:r w:rsidRPr="00870C40">
        <w:rPr>
          <w:rFonts w:eastAsiaTheme="minorHAnsi"/>
          <w:sz w:val="22"/>
          <w:lang w:val="en-US" w:eastAsia="en-US"/>
        </w:rPr>
        <w:t>The state should manage</w:t>
      </w:r>
      <w:r w:rsidR="00856ED5" w:rsidRPr="00870C40">
        <w:rPr>
          <w:rFonts w:eastAsiaTheme="minorHAnsi"/>
          <w:sz w:val="22"/>
          <w:lang w:val="en-US" w:eastAsia="en-US"/>
        </w:rPr>
        <w:t xml:space="preserve"> </w:t>
      </w:r>
      <w:r w:rsidRPr="00870C40">
        <w:rPr>
          <w:rFonts w:eastAsiaTheme="minorHAnsi"/>
          <w:sz w:val="22"/>
          <w:lang w:val="en-US" w:eastAsia="en-US"/>
        </w:rPr>
        <w:t xml:space="preserve">the redistribution of public finances in a way leading towards meeting the needs of the wider public, considering state's financial capabilities. </w:t>
      </w:r>
      <w:r w:rsidR="00F40250" w:rsidRPr="00870C40">
        <w:rPr>
          <w:rFonts w:eastAsiaTheme="minorHAnsi"/>
          <w:sz w:val="22"/>
          <w:lang w:val="en-US" w:eastAsia="en-US"/>
        </w:rPr>
        <w:t xml:space="preserve">Despite the efforts of state to keep </w:t>
      </w:r>
      <w:r w:rsidR="00C57EF3" w:rsidRPr="00870C40">
        <w:rPr>
          <w:rFonts w:eastAsiaTheme="minorHAnsi"/>
          <w:sz w:val="22"/>
          <w:lang w:val="en-US" w:eastAsia="en-US"/>
        </w:rPr>
        <w:t xml:space="preserve">maximal </w:t>
      </w:r>
      <w:r w:rsidR="00F40250" w:rsidRPr="00870C40">
        <w:rPr>
          <w:rFonts w:eastAsiaTheme="minorHAnsi"/>
          <w:sz w:val="22"/>
          <w:lang w:val="en-US" w:eastAsia="en-US"/>
        </w:rPr>
        <w:t xml:space="preserve">control throughout the whole </w:t>
      </w:r>
      <w:r w:rsidR="00C57EF3" w:rsidRPr="00870C40">
        <w:rPr>
          <w:rFonts w:eastAsiaTheme="minorHAnsi"/>
          <w:sz w:val="22"/>
          <w:lang w:val="en-US" w:eastAsia="en-US"/>
        </w:rPr>
        <w:t xml:space="preserve">process of </w:t>
      </w:r>
      <w:r w:rsidR="00F40250" w:rsidRPr="00870C40">
        <w:rPr>
          <w:rFonts w:eastAsiaTheme="minorHAnsi"/>
          <w:sz w:val="22"/>
          <w:lang w:val="en-US" w:eastAsia="en-US"/>
        </w:rPr>
        <w:t xml:space="preserve">public building construction, </w:t>
      </w:r>
      <w:r w:rsidR="001D4F3F" w:rsidRPr="00870C40">
        <w:rPr>
          <w:rFonts w:eastAsiaTheme="minorHAnsi"/>
          <w:sz w:val="22"/>
          <w:lang w:val="en-US" w:eastAsia="en-US"/>
        </w:rPr>
        <w:t xml:space="preserve">some </w:t>
      </w:r>
      <w:r w:rsidR="009F7366" w:rsidRPr="00870C40">
        <w:rPr>
          <w:rFonts w:eastAsiaTheme="minorHAnsi"/>
          <w:sz w:val="22"/>
          <w:lang w:val="en-US" w:eastAsia="en-US"/>
        </w:rPr>
        <w:t xml:space="preserve">serious </w:t>
      </w:r>
      <w:r w:rsidR="001D4F3F" w:rsidRPr="00870C40">
        <w:rPr>
          <w:rFonts w:eastAsiaTheme="minorHAnsi"/>
          <w:sz w:val="22"/>
          <w:lang w:val="en-US" w:eastAsia="en-US"/>
        </w:rPr>
        <w:t>errors</w:t>
      </w:r>
      <w:r w:rsidR="00C57EF3" w:rsidRPr="00870C40">
        <w:rPr>
          <w:rFonts w:eastAsiaTheme="minorHAnsi"/>
          <w:sz w:val="22"/>
          <w:lang w:val="en-US" w:eastAsia="en-US"/>
        </w:rPr>
        <w:t xml:space="preserve"> occur</w:t>
      </w:r>
      <w:r w:rsidR="001D4F3F" w:rsidRPr="00870C40">
        <w:rPr>
          <w:rFonts w:eastAsiaTheme="minorHAnsi"/>
          <w:sz w:val="22"/>
          <w:lang w:val="en-US" w:eastAsia="en-US"/>
        </w:rPr>
        <w:t xml:space="preserve"> repeatedly </w:t>
      </w:r>
      <w:r w:rsidR="00C57EF3" w:rsidRPr="00870C40">
        <w:rPr>
          <w:rFonts w:eastAsiaTheme="minorHAnsi"/>
          <w:sz w:val="22"/>
          <w:lang w:val="en-US" w:eastAsia="en-US"/>
        </w:rPr>
        <w:t>during the process</w:t>
      </w:r>
      <w:r w:rsidR="009F7366" w:rsidRPr="00870C40">
        <w:rPr>
          <w:rFonts w:eastAsiaTheme="minorHAnsi"/>
          <w:sz w:val="22"/>
          <w:lang w:val="en-US" w:eastAsia="en-US"/>
        </w:rPr>
        <w:t>, such as</w:t>
      </w:r>
      <w:r w:rsidR="00C114E8" w:rsidRPr="00870C40">
        <w:rPr>
          <w:rFonts w:eastAsiaTheme="minorHAnsi"/>
          <w:sz w:val="22"/>
          <w:lang w:val="en-US" w:eastAsia="en-US"/>
        </w:rPr>
        <w:t xml:space="preserve"> failure to comply with the contract budget, changes in the budget during construction, insufficient control over the implementation of the construction or changes in legislation</w:t>
      </w:r>
      <w:r w:rsidR="00B27EAE" w:rsidRPr="00870C40">
        <w:rPr>
          <w:rFonts w:eastAsiaTheme="minorHAnsi"/>
          <w:sz w:val="22"/>
          <w:lang w:val="en-US" w:eastAsia="en-US"/>
        </w:rPr>
        <w:t>, which</w:t>
      </w:r>
      <w:r w:rsidR="00C114E8" w:rsidRPr="00870C40">
        <w:rPr>
          <w:rFonts w:eastAsiaTheme="minorHAnsi"/>
          <w:sz w:val="22"/>
          <w:lang w:val="en-US" w:eastAsia="en-US"/>
        </w:rPr>
        <w:t xml:space="preserve"> result</w:t>
      </w:r>
      <w:r w:rsidR="00B27EAE" w:rsidRPr="00870C40">
        <w:rPr>
          <w:rFonts w:eastAsiaTheme="minorHAnsi"/>
          <w:sz w:val="22"/>
          <w:lang w:val="en-US" w:eastAsia="en-US"/>
        </w:rPr>
        <w:t>s</w:t>
      </w:r>
      <w:r w:rsidR="00C114E8" w:rsidRPr="00870C40">
        <w:rPr>
          <w:rFonts w:eastAsiaTheme="minorHAnsi"/>
          <w:sz w:val="22"/>
          <w:lang w:val="en-US" w:eastAsia="en-US"/>
        </w:rPr>
        <w:t xml:space="preserve"> in significant cost of the construction itself [1].</w:t>
      </w:r>
      <w:r w:rsidR="00B27EAE" w:rsidRPr="00870C40">
        <w:rPr>
          <w:rFonts w:eastAsiaTheme="minorHAnsi"/>
          <w:sz w:val="22"/>
          <w:lang w:val="en-US" w:eastAsia="en-US"/>
        </w:rPr>
        <w:t xml:space="preserve"> </w:t>
      </w:r>
    </w:p>
    <w:p w:rsidR="00FA5892" w:rsidRPr="00870C40" w:rsidRDefault="00B27EAE" w:rsidP="00870C40">
      <w:pPr>
        <w:spacing w:after="120"/>
        <w:ind w:firstLine="708"/>
        <w:jc w:val="both"/>
        <w:rPr>
          <w:rFonts w:eastAsiaTheme="minorHAnsi"/>
          <w:sz w:val="22"/>
          <w:lang w:val="en-US" w:eastAsia="en-US"/>
        </w:rPr>
      </w:pPr>
      <w:r w:rsidRPr="00870C40">
        <w:rPr>
          <w:rFonts w:eastAsiaTheme="minorHAnsi"/>
          <w:sz w:val="22"/>
          <w:lang w:val="en-US" w:eastAsia="en-US"/>
        </w:rPr>
        <w:t xml:space="preserve">The </w:t>
      </w:r>
      <w:r w:rsidR="00056FD9" w:rsidRPr="00870C40">
        <w:rPr>
          <w:rFonts w:eastAsiaTheme="minorHAnsi"/>
          <w:sz w:val="22"/>
          <w:lang w:val="en-US" w:eastAsia="en-US"/>
        </w:rPr>
        <w:t>above-mentioned</w:t>
      </w:r>
      <w:r w:rsidRPr="00870C40">
        <w:rPr>
          <w:rFonts w:eastAsiaTheme="minorHAnsi"/>
          <w:sz w:val="22"/>
          <w:lang w:val="en-US" w:eastAsia="en-US"/>
        </w:rPr>
        <w:t xml:space="preserve"> problem occurs not only in the Czech Republic, but also in</w:t>
      </w:r>
      <w:r w:rsidR="00EA481B" w:rsidRPr="00870C40">
        <w:rPr>
          <w:rFonts w:eastAsiaTheme="minorHAnsi"/>
          <w:sz w:val="22"/>
          <w:lang w:val="en-US" w:eastAsia="en-US"/>
        </w:rPr>
        <w:t xml:space="preserve"> other</w:t>
      </w:r>
      <w:r w:rsidRPr="00870C40">
        <w:rPr>
          <w:rFonts w:eastAsiaTheme="minorHAnsi"/>
          <w:sz w:val="22"/>
          <w:lang w:val="en-US" w:eastAsia="en-US"/>
        </w:rPr>
        <w:t xml:space="preserve"> countries</w:t>
      </w:r>
      <w:r w:rsidR="00785A53" w:rsidRPr="00870C40">
        <w:rPr>
          <w:rFonts w:eastAsiaTheme="minorHAnsi"/>
          <w:sz w:val="22"/>
          <w:lang w:val="en-US" w:eastAsia="en-US"/>
        </w:rPr>
        <w:t xml:space="preserve"> of the World</w:t>
      </w:r>
      <w:r w:rsidR="00056FD9" w:rsidRPr="00870C40">
        <w:rPr>
          <w:rFonts w:eastAsiaTheme="minorHAnsi"/>
          <w:sz w:val="22"/>
          <w:lang w:val="en-US" w:eastAsia="en-US"/>
        </w:rPr>
        <w:t xml:space="preserve">, as indicated in the work of professor and scientist Bent </w:t>
      </w:r>
      <w:proofErr w:type="spellStart"/>
      <w:r w:rsidR="00056FD9" w:rsidRPr="00870C40">
        <w:rPr>
          <w:rFonts w:eastAsiaTheme="minorHAnsi"/>
          <w:sz w:val="22"/>
          <w:lang w:val="en-US" w:eastAsia="en-US"/>
        </w:rPr>
        <w:t>Flyvbjerg</w:t>
      </w:r>
      <w:proofErr w:type="spellEnd"/>
      <w:r w:rsidR="00056FD9" w:rsidRPr="00870C40">
        <w:rPr>
          <w:rFonts w:eastAsiaTheme="minorHAnsi"/>
          <w:sz w:val="22"/>
          <w:lang w:val="en-US" w:eastAsia="en-US"/>
        </w:rPr>
        <w:t xml:space="preserve"> from Oxford's </w:t>
      </w:r>
      <w:proofErr w:type="spellStart"/>
      <w:r w:rsidR="00056FD9" w:rsidRPr="00870C40">
        <w:rPr>
          <w:rFonts w:eastAsiaTheme="minorHAnsi"/>
          <w:sz w:val="22"/>
          <w:lang w:val="en-US" w:eastAsia="en-US"/>
        </w:rPr>
        <w:t>Saïd</w:t>
      </w:r>
      <w:proofErr w:type="spellEnd"/>
      <w:r w:rsidR="00056FD9" w:rsidRPr="00870C40">
        <w:rPr>
          <w:rFonts w:eastAsiaTheme="minorHAnsi"/>
          <w:sz w:val="22"/>
          <w:lang w:val="en-US" w:eastAsia="en-US"/>
        </w:rPr>
        <w:t xml:space="preserve"> Business School, who deals with the issue of management and financing of major world construction projects</w:t>
      </w:r>
      <w:r w:rsidR="0002238E" w:rsidRPr="00870C40">
        <w:rPr>
          <w:rFonts w:eastAsiaTheme="minorHAnsi"/>
          <w:sz w:val="22"/>
          <w:lang w:val="en-US" w:eastAsia="en-US"/>
        </w:rPr>
        <w:t xml:space="preserve"> for a long time</w:t>
      </w:r>
      <w:r w:rsidR="00056FD9" w:rsidRPr="00870C40">
        <w:rPr>
          <w:rFonts w:eastAsiaTheme="minorHAnsi"/>
          <w:sz w:val="22"/>
          <w:lang w:val="en-US" w:eastAsia="en-US"/>
        </w:rPr>
        <w:t>.</w:t>
      </w:r>
      <w:r w:rsidR="00CF1468" w:rsidRPr="00870C40">
        <w:rPr>
          <w:rFonts w:eastAsiaTheme="minorHAnsi"/>
          <w:sz w:val="22"/>
          <w:lang w:val="en-US" w:eastAsia="en-US"/>
        </w:rPr>
        <w:t xml:space="preserve"> Prof. </w:t>
      </w:r>
      <w:proofErr w:type="spellStart"/>
      <w:r w:rsidR="00CF1468" w:rsidRPr="00870C40">
        <w:rPr>
          <w:rFonts w:eastAsiaTheme="minorHAnsi"/>
          <w:sz w:val="22"/>
          <w:lang w:val="en-US" w:eastAsia="en-US"/>
        </w:rPr>
        <w:t>Flyvbjerg</w:t>
      </w:r>
      <w:proofErr w:type="spellEnd"/>
      <w:r w:rsidR="00CF1468" w:rsidRPr="00870C40">
        <w:rPr>
          <w:rFonts w:eastAsiaTheme="minorHAnsi"/>
          <w:sz w:val="22"/>
          <w:lang w:val="en-US" w:eastAsia="en-US"/>
        </w:rPr>
        <w:t xml:space="preserve"> has found</w:t>
      </w:r>
      <w:r w:rsidR="00C114E8" w:rsidRPr="00870C40">
        <w:rPr>
          <w:rFonts w:eastAsiaTheme="minorHAnsi"/>
          <w:sz w:val="22"/>
          <w:lang w:val="en-US" w:eastAsia="en-US"/>
        </w:rPr>
        <w:t xml:space="preserve"> </w:t>
      </w:r>
      <w:r w:rsidR="00CF1468" w:rsidRPr="00870C40">
        <w:rPr>
          <w:rFonts w:eastAsiaTheme="minorHAnsi"/>
          <w:sz w:val="22"/>
          <w:lang w:val="en-US" w:eastAsia="en-US"/>
        </w:rPr>
        <w:t xml:space="preserve">that </w:t>
      </w:r>
      <w:r w:rsidR="00C114E8" w:rsidRPr="00870C40">
        <w:rPr>
          <w:rFonts w:eastAsiaTheme="minorHAnsi"/>
          <w:sz w:val="22"/>
          <w:lang w:val="en-US" w:eastAsia="en-US"/>
        </w:rPr>
        <w:t xml:space="preserve">nine large construction projects </w:t>
      </w:r>
      <w:r w:rsidR="00191560" w:rsidRPr="00870C40">
        <w:rPr>
          <w:rFonts w:eastAsiaTheme="minorHAnsi"/>
          <w:sz w:val="22"/>
          <w:lang w:val="en-US" w:eastAsia="en-US"/>
        </w:rPr>
        <w:t xml:space="preserve">(or “mega-projects”) </w:t>
      </w:r>
      <w:r w:rsidR="00C114E8" w:rsidRPr="00870C40">
        <w:rPr>
          <w:rFonts w:eastAsiaTheme="minorHAnsi"/>
          <w:sz w:val="22"/>
          <w:lang w:val="en-US" w:eastAsia="en-US"/>
        </w:rPr>
        <w:t xml:space="preserve">out of ten </w:t>
      </w:r>
      <w:r w:rsidR="00CF1468" w:rsidRPr="00870C40">
        <w:rPr>
          <w:rFonts w:eastAsiaTheme="minorHAnsi"/>
          <w:sz w:val="22"/>
          <w:lang w:val="en-US" w:eastAsia="en-US"/>
        </w:rPr>
        <w:t>are overpriced</w:t>
      </w:r>
      <w:r w:rsidR="00792B66" w:rsidRPr="00870C40">
        <w:rPr>
          <w:rFonts w:eastAsiaTheme="minorHAnsi"/>
          <w:sz w:val="22"/>
          <w:lang w:val="en-US" w:eastAsia="en-US"/>
        </w:rPr>
        <w:t xml:space="preserve"> and, thus, o</w:t>
      </w:r>
      <w:r w:rsidR="00C114E8" w:rsidRPr="00870C40">
        <w:rPr>
          <w:rFonts w:eastAsiaTheme="minorHAnsi"/>
          <w:sz w:val="22"/>
          <w:lang w:val="en-US" w:eastAsia="en-US"/>
        </w:rPr>
        <w:t xml:space="preserve">nly one </w:t>
      </w:r>
      <w:r w:rsidR="00191560" w:rsidRPr="00870C40">
        <w:rPr>
          <w:rFonts w:eastAsiaTheme="minorHAnsi"/>
          <w:sz w:val="22"/>
          <w:lang w:val="en-US" w:eastAsia="en-US"/>
        </w:rPr>
        <w:t xml:space="preserve">such </w:t>
      </w:r>
      <w:r w:rsidR="00C114E8" w:rsidRPr="00870C40">
        <w:rPr>
          <w:rFonts w:eastAsiaTheme="minorHAnsi"/>
          <w:sz w:val="22"/>
          <w:lang w:val="en-US" w:eastAsia="en-US"/>
        </w:rPr>
        <w:t>project can be completed in time and without additional costs. The usual increase</w:t>
      </w:r>
      <w:r w:rsidR="00792B66" w:rsidRPr="00870C40">
        <w:rPr>
          <w:rFonts w:eastAsiaTheme="minorHAnsi"/>
          <w:sz w:val="22"/>
          <w:lang w:val="en-US" w:eastAsia="en-US"/>
        </w:rPr>
        <w:t xml:space="preserve"> of a project cost</w:t>
      </w:r>
      <w:r w:rsidR="00C114E8" w:rsidRPr="00870C40">
        <w:rPr>
          <w:rFonts w:eastAsiaTheme="minorHAnsi"/>
          <w:sz w:val="22"/>
          <w:lang w:val="en-US" w:eastAsia="en-US"/>
        </w:rPr>
        <w:t xml:space="preserve"> is up to 50% of the total price. </w:t>
      </w:r>
      <w:r w:rsidR="00191560" w:rsidRPr="00870C40">
        <w:rPr>
          <w:rFonts w:eastAsiaTheme="minorHAnsi"/>
          <w:sz w:val="22"/>
          <w:lang w:val="en-US" w:eastAsia="en-US"/>
        </w:rPr>
        <w:t xml:space="preserve">As prof. </w:t>
      </w:r>
      <w:proofErr w:type="spellStart"/>
      <w:r w:rsidR="00191560" w:rsidRPr="00870C40">
        <w:rPr>
          <w:rFonts w:eastAsiaTheme="minorHAnsi"/>
          <w:sz w:val="22"/>
          <w:lang w:val="en-US" w:eastAsia="en-US"/>
        </w:rPr>
        <w:t>Flyvbjerg</w:t>
      </w:r>
      <w:proofErr w:type="spellEnd"/>
      <w:r w:rsidR="00191560" w:rsidRPr="00870C40">
        <w:rPr>
          <w:rFonts w:eastAsiaTheme="minorHAnsi"/>
          <w:sz w:val="22"/>
          <w:lang w:val="en-US" w:eastAsia="en-US"/>
        </w:rPr>
        <w:t xml:space="preserve"> adds, the major issues leading to a non-compliance with the contract price are </w:t>
      </w:r>
      <w:r w:rsidR="00C114E8" w:rsidRPr="00870C40">
        <w:rPr>
          <w:rFonts w:eastAsiaTheme="minorHAnsi"/>
          <w:sz w:val="22"/>
          <w:lang w:val="en-US" w:eastAsia="en-US"/>
        </w:rPr>
        <w:t>interests of lobbyists, environmental and civic activist</w:t>
      </w:r>
      <w:bookmarkStart w:id="0" w:name="_GoBack"/>
      <w:bookmarkEnd w:id="0"/>
      <w:r w:rsidR="00C114E8" w:rsidRPr="00870C40">
        <w:rPr>
          <w:rFonts w:eastAsiaTheme="minorHAnsi"/>
          <w:sz w:val="22"/>
          <w:lang w:val="en-US" w:eastAsia="en-US"/>
        </w:rPr>
        <w:t>s' demands, but also the failure of the investor to plan and control the implementation of the construction [2].</w:t>
      </w:r>
      <w:r w:rsidR="00B351BB" w:rsidRPr="00870C40">
        <w:rPr>
          <w:rFonts w:eastAsiaTheme="minorHAnsi"/>
          <w:sz w:val="22"/>
          <w:lang w:val="en-US" w:eastAsia="en-US"/>
        </w:rPr>
        <w:t xml:space="preserve"> A good example can be a new concert hall in Hamburg (Germany), the </w:t>
      </w:r>
      <w:proofErr w:type="spellStart"/>
      <w:r w:rsidR="00B351BB" w:rsidRPr="00870C40">
        <w:rPr>
          <w:rFonts w:eastAsiaTheme="minorHAnsi"/>
          <w:sz w:val="22"/>
          <w:lang w:val="en-US" w:eastAsia="en-US"/>
        </w:rPr>
        <w:t>Elbphilharmonie</w:t>
      </w:r>
      <w:proofErr w:type="spellEnd"/>
      <w:r w:rsidR="00B351BB" w:rsidRPr="00870C40">
        <w:rPr>
          <w:rFonts w:eastAsiaTheme="minorHAnsi"/>
          <w:sz w:val="22"/>
          <w:lang w:val="en-US" w:eastAsia="en-US"/>
        </w:rPr>
        <w:t xml:space="preserve">, which costed about </w:t>
      </w:r>
      <w:r w:rsidR="00EE2861" w:rsidRPr="00870C40">
        <w:rPr>
          <w:rFonts w:eastAsiaTheme="minorHAnsi"/>
          <w:sz w:val="22"/>
          <w:lang w:val="en-US" w:eastAsia="en-US"/>
        </w:rPr>
        <w:t>870</w:t>
      </w:r>
      <w:r w:rsidR="00B351BB" w:rsidRPr="00870C40">
        <w:rPr>
          <w:rFonts w:eastAsiaTheme="minorHAnsi"/>
          <w:sz w:val="22"/>
          <w:lang w:val="en-US" w:eastAsia="en-US"/>
        </w:rPr>
        <w:t xml:space="preserve"> million EUR and took more than a decade to design and build. The construction of the building was officially ended </w:t>
      </w:r>
      <w:r w:rsidR="004A746A" w:rsidRPr="00870C40">
        <w:rPr>
          <w:rFonts w:eastAsiaTheme="minorHAnsi"/>
          <w:sz w:val="22"/>
          <w:lang w:val="en-US" w:eastAsia="en-US"/>
        </w:rPr>
        <w:t>in</w:t>
      </w:r>
      <w:r w:rsidR="00B351BB" w:rsidRPr="00870C40">
        <w:rPr>
          <w:rFonts w:eastAsiaTheme="minorHAnsi"/>
          <w:sz w:val="22"/>
          <w:lang w:val="en-US" w:eastAsia="en-US"/>
        </w:rPr>
        <w:t xml:space="preserve"> 2016. The original cost was estimated to 241 million EUR and the construction was scheduled to be finished by 2010</w:t>
      </w:r>
      <w:r w:rsidR="00E33A33" w:rsidRPr="00870C40">
        <w:rPr>
          <w:rFonts w:eastAsiaTheme="minorHAnsi"/>
          <w:sz w:val="22"/>
          <w:lang w:val="en-US" w:eastAsia="en-US"/>
        </w:rPr>
        <w:t xml:space="preserve">. </w:t>
      </w:r>
      <w:r w:rsidR="00EC0946" w:rsidRPr="00870C40">
        <w:rPr>
          <w:rFonts w:eastAsiaTheme="minorHAnsi"/>
          <w:sz w:val="22"/>
          <w:lang w:val="en-US" w:eastAsia="en-US"/>
        </w:rPr>
        <w:t>However, t</w:t>
      </w:r>
      <w:r w:rsidR="00E33A33" w:rsidRPr="00870C40">
        <w:rPr>
          <w:rFonts w:eastAsiaTheme="minorHAnsi"/>
          <w:sz w:val="22"/>
          <w:lang w:val="en-US" w:eastAsia="en-US"/>
        </w:rPr>
        <w:t>he project was exceptionally demanding due to its specific architecture and function,</w:t>
      </w:r>
      <w:r w:rsidR="00EC0946" w:rsidRPr="00870C40">
        <w:rPr>
          <w:rFonts w:eastAsiaTheme="minorHAnsi"/>
          <w:sz w:val="22"/>
          <w:lang w:val="en-US" w:eastAsia="en-US"/>
        </w:rPr>
        <w:t xml:space="preserve"> because it was designed to be the best concert hall of the World</w:t>
      </w:r>
      <w:r w:rsidR="00D95531" w:rsidRPr="00870C40">
        <w:rPr>
          <w:rFonts w:eastAsiaTheme="minorHAnsi"/>
          <w:sz w:val="22"/>
          <w:lang w:val="en-US" w:eastAsia="en-US"/>
        </w:rPr>
        <w:t xml:space="preserve"> [3]</w:t>
      </w:r>
      <w:r w:rsidR="00B351BB" w:rsidRPr="00870C40">
        <w:rPr>
          <w:rFonts w:eastAsiaTheme="minorHAnsi"/>
          <w:sz w:val="22"/>
          <w:lang w:val="en-US" w:eastAsia="en-US"/>
        </w:rPr>
        <w:t>.</w:t>
      </w:r>
      <w:r w:rsidR="00E33A33" w:rsidRPr="00870C40">
        <w:rPr>
          <w:rFonts w:eastAsiaTheme="minorHAnsi"/>
          <w:sz w:val="22"/>
          <w:lang w:val="en-US" w:eastAsia="en-US"/>
        </w:rPr>
        <w:t xml:space="preserve"> </w:t>
      </w:r>
    </w:p>
    <w:p w:rsidR="008457E5" w:rsidRDefault="00856ED5" w:rsidP="00870C40">
      <w:pPr>
        <w:spacing w:after="0"/>
        <w:jc w:val="both"/>
        <w:rPr>
          <w:noProof/>
          <w:sz w:val="28"/>
        </w:rPr>
      </w:pPr>
      <w:r w:rsidRPr="00870C40">
        <w:rPr>
          <w:rFonts w:eastAsiaTheme="minorHAnsi"/>
          <w:sz w:val="22"/>
          <w:lang w:val="en-US" w:eastAsia="en-US"/>
        </w:rPr>
        <w:t xml:space="preserve">   </w:t>
      </w:r>
      <w:r w:rsidR="00C114E8" w:rsidRPr="00870C40">
        <w:rPr>
          <w:rFonts w:eastAsiaTheme="minorHAnsi"/>
          <w:sz w:val="22"/>
          <w:lang w:val="en-US" w:eastAsia="en-US"/>
        </w:rPr>
        <w:t xml:space="preserve">This </w:t>
      </w:r>
      <w:r w:rsidR="00C114E8" w:rsidRPr="00870C40">
        <w:rPr>
          <w:rFonts w:eastAsiaTheme="minorHAnsi"/>
          <w:noProof/>
          <w:sz w:val="22"/>
          <w:lang w:val="en-US" w:eastAsia="en-US"/>
        </w:rPr>
        <w:t xml:space="preserve">article </w:t>
      </w:r>
      <w:r w:rsidR="00C13CC0" w:rsidRPr="00870C40">
        <w:rPr>
          <w:rFonts w:eastAsiaTheme="minorHAnsi"/>
          <w:noProof/>
          <w:sz w:val="22"/>
          <w:lang w:val="en-US" w:eastAsia="en-US"/>
        </w:rPr>
        <w:t xml:space="preserve">focused on a categorization of </w:t>
      </w:r>
      <w:r w:rsidR="00C114E8" w:rsidRPr="00870C40">
        <w:rPr>
          <w:rFonts w:eastAsiaTheme="minorHAnsi"/>
          <w:noProof/>
          <w:sz w:val="22"/>
          <w:lang w:val="en-US" w:eastAsia="en-US"/>
        </w:rPr>
        <w:t xml:space="preserve">194 </w:t>
      </w:r>
      <w:r w:rsidR="00C13CC0" w:rsidRPr="00870C40">
        <w:rPr>
          <w:rFonts w:eastAsiaTheme="minorHAnsi"/>
          <w:noProof/>
          <w:sz w:val="22"/>
          <w:lang w:val="en-US" w:eastAsia="en-US"/>
        </w:rPr>
        <w:t xml:space="preserve">public building objects, constructed in the Czech Republic in a period between 2008 to 2018, </w:t>
      </w:r>
      <w:r w:rsidR="0018712A" w:rsidRPr="00870C40">
        <w:rPr>
          <w:rFonts w:eastAsiaTheme="minorHAnsi"/>
          <w:noProof/>
          <w:sz w:val="22"/>
          <w:lang w:val="en-US" w:eastAsia="en-US"/>
        </w:rPr>
        <w:t xml:space="preserve">followed by analysis of a key events causing </w:t>
      </w:r>
      <w:r w:rsidR="00B1498D" w:rsidRPr="00870C40">
        <w:rPr>
          <w:rFonts w:eastAsiaTheme="minorHAnsi"/>
          <w:noProof/>
          <w:sz w:val="22"/>
          <w:lang w:val="en-US" w:eastAsia="en-US"/>
        </w:rPr>
        <w:t>cost and schedule overruns</w:t>
      </w:r>
      <w:r w:rsidR="0018712A" w:rsidRPr="00870C40">
        <w:rPr>
          <w:rFonts w:eastAsiaTheme="minorHAnsi"/>
          <w:noProof/>
          <w:sz w:val="22"/>
          <w:lang w:val="en-US" w:eastAsia="en-US"/>
        </w:rPr>
        <w:t xml:space="preserve">.  </w:t>
      </w:r>
    </w:p>
    <w:p w:rsidR="00C114E8" w:rsidRPr="00870C40" w:rsidRDefault="00C114E8" w:rsidP="00870C40">
      <w:pPr>
        <w:pStyle w:val="CM-heading1"/>
      </w:pPr>
      <w:r w:rsidRPr="00870C40">
        <w:t>Methodology</w:t>
      </w:r>
    </w:p>
    <w:p w:rsidR="003A3438" w:rsidRPr="00870C40" w:rsidRDefault="00870C40" w:rsidP="003A3438">
      <w:pPr>
        <w:spacing w:after="120"/>
        <w:rPr>
          <w:bCs/>
          <w:sz w:val="22"/>
          <w:lang w:val="en-US"/>
        </w:rPr>
      </w:pPr>
      <w:r w:rsidRPr="00870C40">
        <w:rPr>
          <w:rFonts w:eastAsia="Times New Roman" w:cs="Times New Roman"/>
          <w:sz w:val="22"/>
          <w:lang w:val="en-US" w:eastAsia="en-US"/>
        </w:rPr>
        <w:t xml:space="preserve"> </w:t>
      </w:r>
      <w:r w:rsidRPr="00870C40">
        <w:rPr>
          <w:rFonts w:eastAsia="Times New Roman" w:cs="Times New Roman"/>
          <w:sz w:val="22"/>
          <w:lang w:val="en-US" w:eastAsia="en-US"/>
        </w:rPr>
        <w:tab/>
      </w:r>
      <w:r w:rsidR="006423E8" w:rsidRPr="00870C40">
        <w:rPr>
          <w:rFonts w:eastAsiaTheme="minorHAnsi"/>
          <w:sz w:val="22"/>
          <w:lang w:val="en-US" w:eastAsia="en-US"/>
        </w:rPr>
        <w:t>W</w:t>
      </w:r>
      <w:r w:rsidR="0030616F" w:rsidRPr="00870C40">
        <w:rPr>
          <w:rFonts w:eastAsiaTheme="minorHAnsi"/>
          <w:sz w:val="22"/>
          <w:lang w:val="en-US" w:eastAsia="en-US"/>
        </w:rPr>
        <w:t xml:space="preserve">e analyzed a sample of 194 buildings whose financial value ranged from 220 </w:t>
      </w:r>
      <w:r w:rsidR="00E93768" w:rsidRPr="00870C40">
        <w:rPr>
          <w:rFonts w:eastAsiaTheme="minorHAnsi"/>
          <w:sz w:val="22"/>
          <w:lang w:val="en-US" w:eastAsia="en-US"/>
        </w:rPr>
        <w:t>t</w:t>
      </w:r>
      <w:r w:rsidR="0030616F" w:rsidRPr="00870C40">
        <w:rPr>
          <w:rFonts w:eastAsiaTheme="minorHAnsi"/>
          <w:sz w:val="22"/>
          <w:lang w:val="en-US" w:eastAsia="en-US"/>
        </w:rPr>
        <w:t xml:space="preserve">housand </w:t>
      </w:r>
      <w:r w:rsidR="00E93768" w:rsidRPr="00870C40">
        <w:rPr>
          <w:rFonts w:eastAsiaTheme="minorHAnsi"/>
          <w:sz w:val="22"/>
          <w:lang w:val="en-US" w:eastAsia="en-US"/>
        </w:rPr>
        <w:t xml:space="preserve">Czech crowns (CZK) </w:t>
      </w:r>
      <w:r w:rsidR="0030616F" w:rsidRPr="00870C40">
        <w:rPr>
          <w:rFonts w:eastAsiaTheme="minorHAnsi"/>
          <w:sz w:val="22"/>
          <w:lang w:val="en-US" w:eastAsia="en-US"/>
        </w:rPr>
        <w:t>to 38 billion</w:t>
      </w:r>
      <w:r w:rsidR="00E93768" w:rsidRPr="00870C40">
        <w:rPr>
          <w:rFonts w:eastAsiaTheme="minorHAnsi"/>
          <w:sz w:val="22"/>
          <w:lang w:val="en-US" w:eastAsia="en-US"/>
        </w:rPr>
        <w:t xml:space="preserve"> CZK</w:t>
      </w:r>
      <w:r w:rsidR="0030616F" w:rsidRPr="00870C40">
        <w:rPr>
          <w:rFonts w:eastAsiaTheme="minorHAnsi"/>
          <w:sz w:val="22"/>
          <w:lang w:val="en-US" w:eastAsia="en-US"/>
        </w:rPr>
        <w:t>. First</w:t>
      </w:r>
      <w:r w:rsidR="00E93768" w:rsidRPr="00870C40">
        <w:rPr>
          <w:rFonts w:eastAsiaTheme="minorHAnsi"/>
          <w:sz w:val="22"/>
          <w:lang w:val="en-US" w:eastAsia="en-US"/>
        </w:rPr>
        <w:t>ly</w:t>
      </w:r>
      <w:r w:rsidR="0030616F" w:rsidRPr="00870C40">
        <w:rPr>
          <w:rFonts w:eastAsiaTheme="minorHAnsi"/>
          <w:sz w:val="22"/>
          <w:lang w:val="en-US" w:eastAsia="en-US"/>
        </w:rPr>
        <w:t>, samples of the buildings were divided into four categories</w:t>
      </w:r>
      <w:r w:rsidR="00E93768" w:rsidRPr="00870C40">
        <w:rPr>
          <w:rFonts w:eastAsiaTheme="minorHAnsi"/>
          <w:sz w:val="22"/>
          <w:lang w:val="en-US" w:eastAsia="en-US"/>
        </w:rPr>
        <w:t>, according to their purpose, architectural similarity and building technology –</w:t>
      </w:r>
      <w:r w:rsidR="00E93768" w:rsidRPr="00870C40">
        <w:rPr>
          <w:bCs/>
          <w:sz w:val="22"/>
          <w:lang w:val="en-US"/>
        </w:rPr>
        <w:t xml:space="preserve"> </w:t>
      </w:r>
      <w:r w:rsidR="00E93768" w:rsidRPr="00870C40">
        <w:rPr>
          <w:b/>
          <w:bCs/>
          <w:sz w:val="22"/>
          <w:lang w:val="en-US"/>
        </w:rPr>
        <w:t>Figure 1</w:t>
      </w:r>
      <w:r w:rsidR="00E93768" w:rsidRPr="00870C40">
        <w:rPr>
          <w:bCs/>
          <w:sz w:val="22"/>
          <w:lang w:val="en-US"/>
        </w:rPr>
        <w:t>.</w:t>
      </w:r>
      <w:r w:rsidR="00A940C8" w:rsidRPr="00870C40">
        <w:rPr>
          <w:bCs/>
          <w:sz w:val="22"/>
          <w:lang w:val="en-US"/>
        </w:rPr>
        <w:t xml:space="preserve"> Secondly the overall costs of similar buildings were compared within each of the four categories and the main reasons of building budget and schedule overruns were summarized. </w:t>
      </w:r>
    </w:p>
    <w:p w:rsidR="0036665D" w:rsidRPr="00177373" w:rsidRDefault="003F423B" w:rsidP="00A53733">
      <w:pPr>
        <w:pStyle w:val="Odstavecseseznamem"/>
        <w:rPr>
          <w:noProof/>
          <w:sz w:val="22"/>
          <w:lang w:val="en-US"/>
        </w:rPr>
      </w:pPr>
      <w:r>
        <w:rPr>
          <w:noProof/>
        </w:rPr>
        <w:drawing>
          <wp:anchor distT="0" distB="0" distL="114300" distR="114300" simplePos="0" relativeHeight="251725312" behindDoc="1" locked="0" layoutInCell="1" allowOverlap="1" wp14:anchorId="7D0666CA" wp14:editId="79A25BF9">
            <wp:simplePos x="0" y="0"/>
            <wp:positionH relativeFrom="margin">
              <wp:align>center</wp:align>
            </wp:positionH>
            <wp:positionV relativeFrom="paragraph">
              <wp:posOffset>8255</wp:posOffset>
            </wp:positionV>
            <wp:extent cx="4143375" cy="1622425"/>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3375" cy="1622425"/>
                    </a:xfrm>
                    <a:prstGeom prst="rect">
                      <a:avLst/>
                    </a:prstGeom>
                  </pic:spPr>
                </pic:pic>
              </a:graphicData>
            </a:graphic>
            <wp14:sizeRelH relativeFrom="margin">
              <wp14:pctWidth>0</wp14:pctWidth>
            </wp14:sizeRelH>
            <wp14:sizeRelV relativeFrom="margin">
              <wp14:pctHeight>0</wp14:pctHeight>
            </wp14:sizeRelV>
          </wp:anchor>
        </w:drawing>
      </w:r>
    </w:p>
    <w:p w:rsidR="0036665D" w:rsidRPr="00177373" w:rsidRDefault="0036665D" w:rsidP="00A53733">
      <w:pPr>
        <w:pStyle w:val="Odstavecseseznamem"/>
        <w:rPr>
          <w:noProof/>
          <w:sz w:val="22"/>
          <w:lang w:val="en-US"/>
        </w:rPr>
      </w:pPr>
    </w:p>
    <w:p w:rsidR="008457E5" w:rsidRDefault="008457E5" w:rsidP="003A3438">
      <w:pPr>
        <w:rPr>
          <w:bCs/>
          <w:szCs w:val="24"/>
          <w:lang w:val="en-US"/>
        </w:rPr>
      </w:pPr>
    </w:p>
    <w:p w:rsidR="008457E5" w:rsidRDefault="008457E5" w:rsidP="003A3438">
      <w:pPr>
        <w:rPr>
          <w:bCs/>
          <w:szCs w:val="24"/>
          <w:lang w:val="en-US"/>
        </w:rPr>
      </w:pPr>
    </w:p>
    <w:p w:rsidR="00870C40" w:rsidRDefault="00870C40" w:rsidP="003A3438">
      <w:pPr>
        <w:rPr>
          <w:bCs/>
          <w:szCs w:val="24"/>
          <w:lang w:val="en-US"/>
        </w:rPr>
      </w:pPr>
    </w:p>
    <w:p w:rsidR="00870C40" w:rsidRPr="00870C40" w:rsidRDefault="003F423B" w:rsidP="00870C40">
      <w:pPr>
        <w:spacing w:after="120"/>
        <w:jc w:val="center"/>
        <w:rPr>
          <w:noProof/>
          <w:sz w:val="20"/>
          <w:szCs w:val="20"/>
          <w:lang w:val="en-US"/>
        </w:rPr>
      </w:pPr>
      <w:r>
        <w:rPr>
          <w:b/>
          <w:sz w:val="20"/>
          <w:szCs w:val="20"/>
          <w:lang w:val="en-US"/>
        </w:rPr>
        <w:t>Figure</w:t>
      </w:r>
      <w:r w:rsidR="00870C40" w:rsidRPr="00870C40">
        <w:rPr>
          <w:b/>
          <w:sz w:val="20"/>
          <w:szCs w:val="20"/>
          <w:lang w:val="en-US"/>
        </w:rPr>
        <w:t xml:space="preserve"> 1 - Building categories</w:t>
      </w:r>
    </w:p>
    <w:p w:rsidR="00870C40" w:rsidRDefault="00870C40" w:rsidP="003A3438">
      <w:pPr>
        <w:rPr>
          <w:bCs/>
          <w:szCs w:val="24"/>
          <w:lang w:val="en-US"/>
        </w:rPr>
      </w:pPr>
    </w:p>
    <w:p w:rsidR="003F423B" w:rsidRDefault="003F423B" w:rsidP="003A3438">
      <w:pPr>
        <w:rPr>
          <w:bCs/>
          <w:szCs w:val="24"/>
          <w:lang w:val="en-US"/>
        </w:rPr>
      </w:pPr>
    </w:p>
    <w:p w:rsidR="00D16312" w:rsidRPr="003F423B" w:rsidRDefault="00D16312" w:rsidP="003A3438">
      <w:pPr>
        <w:rPr>
          <w:bCs/>
          <w:sz w:val="22"/>
          <w:lang w:val="en-US"/>
        </w:rPr>
      </w:pPr>
      <w:r w:rsidRPr="003F423B">
        <w:rPr>
          <w:bCs/>
          <w:sz w:val="22"/>
          <w:lang w:val="en-US"/>
        </w:rPr>
        <w:lastRenderedPageBreak/>
        <w:t xml:space="preserve">The buildings were classified into four categories: </w:t>
      </w:r>
    </w:p>
    <w:p w:rsidR="00D16312" w:rsidRPr="003F423B" w:rsidRDefault="00D16312" w:rsidP="00D16312">
      <w:pPr>
        <w:pStyle w:val="Odstavecseseznamem"/>
        <w:numPr>
          <w:ilvl w:val="0"/>
          <w:numId w:val="21"/>
        </w:numPr>
        <w:spacing w:after="120"/>
        <w:rPr>
          <w:bCs/>
          <w:sz w:val="22"/>
          <w:lang w:val="en-US"/>
        </w:rPr>
      </w:pPr>
      <w:proofErr w:type="gramStart"/>
      <w:r w:rsidRPr="003F423B">
        <w:rPr>
          <w:b/>
          <w:bCs/>
          <w:sz w:val="22"/>
          <w:lang w:val="en-US"/>
        </w:rPr>
        <w:t>transport</w:t>
      </w:r>
      <w:proofErr w:type="gramEnd"/>
      <w:r w:rsidRPr="003F423B">
        <w:rPr>
          <w:b/>
          <w:bCs/>
          <w:sz w:val="22"/>
          <w:lang w:val="en-US"/>
        </w:rPr>
        <w:t xml:space="preserve"> structures</w:t>
      </w:r>
      <w:r w:rsidRPr="003F423B">
        <w:rPr>
          <w:bCs/>
          <w:sz w:val="22"/>
          <w:lang w:val="en-US"/>
        </w:rPr>
        <w:t xml:space="preserve"> - roads, motorways, bridges, metro, railways, railway stations, airports and airport areas, including runways, streets, sidewalks, car parks, public areas, parking areas, noise barriers.</w:t>
      </w:r>
    </w:p>
    <w:p w:rsidR="002B2CB1" w:rsidRPr="003F423B" w:rsidRDefault="00D16312" w:rsidP="002B2CB1">
      <w:pPr>
        <w:pStyle w:val="Odstavecseseznamem"/>
        <w:numPr>
          <w:ilvl w:val="0"/>
          <w:numId w:val="21"/>
        </w:numPr>
        <w:spacing w:after="120"/>
        <w:rPr>
          <w:bCs/>
          <w:sz w:val="22"/>
          <w:lang w:val="en-US"/>
        </w:rPr>
      </w:pPr>
      <w:proofErr w:type="gramStart"/>
      <w:r w:rsidRPr="003F423B">
        <w:rPr>
          <w:b/>
          <w:bCs/>
          <w:sz w:val="22"/>
          <w:lang w:val="en-US"/>
        </w:rPr>
        <w:t>water</w:t>
      </w:r>
      <w:proofErr w:type="gramEnd"/>
      <w:r w:rsidRPr="003F423B">
        <w:rPr>
          <w:b/>
          <w:bCs/>
          <w:sz w:val="22"/>
          <w:lang w:val="en-US"/>
        </w:rPr>
        <w:t xml:space="preserve"> management structures</w:t>
      </w:r>
      <w:r w:rsidRPr="003F423B">
        <w:rPr>
          <w:bCs/>
          <w:sz w:val="22"/>
          <w:lang w:val="en-US"/>
        </w:rPr>
        <w:t xml:space="preserve"> - d</w:t>
      </w:r>
      <w:r w:rsidR="00771EB4" w:rsidRPr="003F423B">
        <w:rPr>
          <w:bCs/>
          <w:sz w:val="22"/>
          <w:lang w:val="en-US"/>
        </w:rPr>
        <w:t>ykes</w:t>
      </w:r>
      <w:r w:rsidRPr="003F423B">
        <w:rPr>
          <w:bCs/>
          <w:sz w:val="22"/>
          <w:lang w:val="en-US"/>
        </w:rPr>
        <w:t>, weirs, dams, ponds and river modifications, waterways including sewerage channels, chambers, harbors and facilities, long-distance pipelines.</w:t>
      </w:r>
    </w:p>
    <w:p w:rsidR="000F4AD5" w:rsidRPr="003F423B" w:rsidRDefault="00D16312" w:rsidP="000F4AD5">
      <w:pPr>
        <w:pStyle w:val="Odstavecseseznamem"/>
        <w:numPr>
          <w:ilvl w:val="0"/>
          <w:numId w:val="21"/>
        </w:numPr>
        <w:spacing w:after="120"/>
        <w:rPr>
          <w:bCs/>
          <w:sz w:val="22"/>
          <w:lang w:val="en-US"/>
        </w:rPr>
      </w:pPr>
      <w:proofErr w:type="gramStart"/>
      <w:r w:rsidRPr="003F423B">
        <w:rPr>
          <w:b/>
          <w:bCs/>
          <w:sz w:val="22"/>
          <w:lang w:val="en-US"/>
        </w:rPr>
        <w:t>technological</w:t>
      </w:r>
      <w:proofErr w:type="gramEnd"/>
      <w:r w:rsidRPr="003F423B">
        <w:rPr>
          <w:b/>
          <w:bCs/>
          <w:sz w:val="22"/>
          <w:lang w:val="en-US"/>
        </w:rPr>
        <w:t xml:space="preserve"> structures</w:t>
      </w:r>
      <w:r w:rsidR="002B2CB1" w:rsidRPr="003F423B">
        <w:rPr>
          <w:bCs/>
          <w:sz w:val="22"/>
          <w:lang w:val="en-US"/>
        </w:rPr>
        <w:t xml:space="preserve"> - boiler </w:t>
      </w:r>
      <w:r w:rsidR="00802A3F" w:rsidRPr="003F423B">
        <w:rPr>
          <w:bCs/>
          <w:sz w:val="22"/>
          <w:lang w:val="en-US"/>
        </w:rPr>
        <w:t>houses</w:t>
      </w:r>
      <w:r w:rsidR="002B2CB1" w:rsidRPr="003F423B">
        <w:rPr>
          <w:bCs/>
          <w:sz w:val="22"/>
          <w:lang w:val="en-US"/>
        </w:rPr>
        <w:t>, power stations, substations, production halls or chemical industry buildings.</w:t>
      </w:r>
    </w:p>
    <w:p w:rsidR="000F4AD5" w:rsidRPr="003F423B" w:rsidRDefault="00D16312" w:rsidP="000F4AD5">
      <w:pPr>
        <w:pStyle w:val="Odstavecseseznamem"/>
        <w:numPr>
          <w:ilvl w:val="0"/>
          <w:numId w:val="21"/>
        </w:numPr>
        <w:spacing w:after="120"/>
        <w:rPr>
          <w:bCs/>
          <w:sz w:val="22"/>
          <w:lang w:val="en-US"/>
        </w:rPr>
      </w:pPr>
      <w:r w:rsidRPr="003F423B">
        <w:rPr>
          <w:b/>
          <w:bCs/>
          <w:sz w:val="22"/>
          <w:lang w:val="en-US"/>
        </w:rPr>
        <w:t>other ground structures</w:t>
      </w:r>
      <w:r w:rsidR="000F4AD5" w:rsidRPr="003F423B">
        <w:rPr>
          <w:b/>
          <w:bCs/>
          <w:sz w:val="22"/>
          <w:lang w:val="en-US"/>
        </w:rPr>
        <w:t xml:space="preserve"> </w:t>
      </w:r>
      <w:r w:rsidR="000F4AD5" w:rsidRPr="003F423B">
        <w:rPr>
          <w:bCs/>
          <w:sz w:val="22"/>
          <w:lang w:val="en-US"/>
        </w:rPr>
        <w:t xml:space="preserve">- </w:t>
      </w:r>
      <w:r w:rsidR="00771EB4" w:rsidRPr="003F423B">
        <w:rPr>
          <w:bCs/>
          <w:sz w:val="22"/>
          <w:lang w:val="en-US"/>
        </w:rPr>
        <w:t>r</w:t>
      </w:r>
      <w:r w:rsidR="000F4AD5" w:rsidRPr="003F423B">
        <w:rPr>
          <w:bCs/>
          <w:sz w:val="22"/>
          <w:lang w:val="en-US"/>
        </w:rPr>
        <w:t xml:space="preserve">esidential houses, </w:t>
      </w:r>
      <w:r w:rsidR="00771EB4" w:rsidRPr="003F423B">
        <w:rPr>
          <w:bCs/>
          <w:sz w:val="22"/>
          <w:lang w:val="en-US"/>
        </w:rPr>
        <w:t xml:space="preserve">family </w:t>
      </w:r>
      <w:r w:rsidR="000F4AD5" w:rsidRPr="003F423B">
        <w:rPr>
          <w:bCs/>
          <w:sz w:val="22"/>
          <w:lang w:val="en-US"/>
        </w:rPr>
        <w:t>houses, cottages, holiday homes, sports halls, swimming pools, hospitals, nurseries, schools, kindergartens, gymnasiums, sports halls, playgrounds</w:t>
      </w:r>
      <w:r w:rsidR="00771EB4" w:rsidRPr="003F423B">
        <w:rPr>
          <w:bCs/>
          <w:sz w:val="22"/>
          <w:lang w:val="en-US"/>
        </w:rPr>
        <w:t>,</w:t>
      </w:r>
      <w:r w:rsidR="000F4AD5" w:rsidRPr="003F423B">
        <w:rPr>
          <w:bCs/>
          <w:sz w:val="22"/>
          <w:lang w:val="en-US"/>
        </w:rPr>
        <w:t xml:space="preserve"> stadiums, theaters, cinemas, churches, </w:t>
      </w:r>
      <w:r w:rsidR="00771EB4" w:rsidRPr="003F423B">
        <w:rPr>
          <w:bCs/>
          <w:sz w:val="22"/>
          <w:lang w:val="en-US"/>
        </w:rPr>
        <w:t>exhibition grounds</w:t>
      </w:r>
      <w:r w:rsidR="000F4AD5" w:rsidRPr="003F423B">
        <w:rPr>
          <w:bCs/>
          <w:sz w:val="22"/>
          <w:lang w:val="en-US"/>
        </w:rPr>
        <w:t>, department stores, hotels, guesthouses , hostels, office buildings, retaining walls, towers and masts, stables, huts, greenhouses, warehouses.</w:t>
      </w:r>
      <w:r w:rsidR="000F4AD5" w:rsidRPr="003F423B">
        <w:rPr>
          <w:rFonts w:eastAsia="Times New Roman" w:cs="Times New Roman"/>
          <w:color w:val="00B050"/>
          <w:sz w:val="22"/>
          <w:lang w:val="en-US" w:eastAsia="en-US"/>
        </w:rPr>
        <w:t xml:space="preserve">    </w:t>
      </w:r>
    </w:p>
    <w:p w:rsidR="00D74678" w:rsidRPr="003F423B" w:rsidRDefault="00025705" w:rsidP="003F423B">
      <w:pPr>
        <w:ind w:firstLine="708"/>
        <w:rPr>
          <w:bCs/>
          <w:sz w:val="22"/>
          <w:lang w:val="en-US"/>
        </w:rPr>
      </w:pPr>
      <w:r w:rsidRPr="003F423B">
        <w:rPr>
          <w:bCs/>
          <w:sz w:val="22"/>
          <w:lang w:val="en-US"/>
        </w:rPr>
        <w:t>Among the most important samples in terms of the financial demands of the construction are</w:t>
      </w:r>
      <w:r w:rsidR="00771EB4" w:rsidRPr="003F423B">
        <w:rPr>
          <w:bCs/>
          <w:sz w:val="22"/>
          <w:lang w:val="en-US"/>
        </w:rPr>
        <w:t>:</w:t>
      </w:r>
      <w:r w:rsidRPr="003F423B">
        <w:rPr>
          <w:bCs/>
          <w:sz w:val="22"/>
          <w:lang w:val="en-US"/>
        </w:rPr>
        <w:t xml:space="preserve"> the construction of the </w:t>
      </w:r>
      <w:r w:rsidR="00771EB4" w:rsidRPr="003F423B">
        <w:rPr>
          <w:bCs/>
          <w:sz w:val="22"/>
          <w:lang w:val="en-US"/>
        </w:rPr>
        <w:t>combined (steam and gas)-cycle</w:t>
      </w:r>
      <w:r w:rsidRPr="003F423B">
        <w:rPr>
          <w:bCs/>
          <w:sz w:val="22"/>
          <w:lang w:val="en-US"/>
        </w:rPr>
        <w:t xml:space="preserve"> of the </w:t>
      </w:r>
      <w:proofErr w:type="spellStart"/>
      <w:r w:rsidRPr="003F423B">
        <w:rPr>
          <w:bCs/>
          <w:sz w:val="22"/>
          <w:lang w:val="en-US"/>
        </w:rPr>
        <w:t>Počerady</w:t>
      </w:r>
      <w:proofErr w:type="spellEnd"/>
      <w:r w:rsidRPr="003F423B">
        <w:rPr>
          <w:bCs/>
          <w:sz w:val="22"/>
          <w:lang w:val="en-US"/>
        </w:rPr>
        <w:t xml:space="preserve"> power plant, the D8 </w:t>
      </w:r>
      <w:proofErr w:type="spellStart"/>
      <w:r w:rsidRPr="003F423B">
        <w:rPr>
          <w:bCs/>
          <w:sz w:val="22"/>
          <w:lang w:val="en-US"/>
        </w:rPr>
        <w:t>Lovosice</w:t>
      </w:r>
      <w:proofErr w:type="spellEnd"/>
      <w:r w:rsidRPr="003F423B">
        <w:rPr>
          <w:bCs/>
          <w:sz w:val="22"/>
          <w:lang w:val="en-US"/>
        </w:rPr>
        <w:t xml:space="preserve"> - </w:t>
      </w:r>
      <w:proofErr w:type="spellStart"/>
      <w:r w:rsidRPr="003F423B">
        <w:rPr>
          <w:bCs/>
          <w:sz w:val="22"/>
          <w:lang w:val="en-US"/>
        </w:rPr>
        <w:t>Řehlovice</w:t>
      </w:r>
      <w:proofErr w:type="spellEnd"/>
      <w:r w:rsidRPr="003F423B">
        <w:rPr>
          <w:bCs/>
          <w:sz w:val="22"/>
          <w:lang w:val="en-US"/>
        </w:rPr>
        <w:t xml:space="preserve"> motorway section, the extension of the </w:t>
      </w:r>
      <w:r w:rsidR="002D732A" w:rsidRPr="003F423B">
        <w:rPr>
          <w:bCs/>
          <w:sz w:val="22"/>
          <w:lang w:val="en-US"/>
        </w:rPr>
        <w:t>metro</w:t>
      </w:r>
      <w:r w:rsidR="00771EB4" w:rsidRPr="003F423B">
        <w:rPr>
          <w:bCs/>
          <w:sz w:val="22"/>
          <w:lang w:val="en-US"/>
        </w:rPr>
        <w:t xml:space="preserve"> line “</w:t>
      </w:r>
      <w:r w:rsidRPr="003F423B">
        <w:rPr>
          <w:bCs/>
          <w:sz w:val="22"/>
          <w:lang w:val="en-US"/>
        </w:rPr>
        <w:t>A</w:t>
      </w:r>
      <w:r w:rsidR="00771EB4" w:rsidRPr="003F423B">
        <w:rPr>
          <w:bCs/>
          <w:sz w:val="22"/>
          <w:lang w:val="en-US"/>
        </w:rPr>
        <w:t>”</w:t>
      </w:r>
      <w:r w:rsidRPr="003F423B">
        <w:rPr>
          <w:bCs/>
          <w:sz w:val="22"/>
          <w:lang w:val="en-US"/>
        </w:rPr>
        <w:t xml:space="preserve">, the </w:t>
      </w:r>
      <w:proofErr w:type="spellStart"/>
      <w:r w:rsidRPr="003F423B">
        <w:rPr>
          <w:bCs/>
          <w:sz w:val="22"/>
          <w:lang w:val="en-US"/>
        </w:rPr>
        <w:t>Blanka</w:t>
      </w:r>
      <w:proofErr w:type="spellEnd"/>
      <w:r w:rsidRPr="003F423B">
        <w:rPr>
          <w:bCs/>
          <w:sz w:val="22"/>
          <w:lang w:val="en-US"/>
        </w:rPr>
        <w:t xml:space="preserve"> tunnel complex or the multifunctional KV arena </w:t>
      </w:r>
      <w:r w:rsidR="00771EB4" w:rsidRPr="003F423B">
        <w:rPr>
          <w:bCs/>
          <w:sz w:val="22"/>
          <w:lang w:val="en-US"/>
        </w:rPr>
        <w:t xml:space="preserve">located </w:t>
      </w:r>
      <w:r w:rsidRPr="003F423B">
        <w:rPr>
          <w:bCs/>
          <w:sz w:val="22"/>
          <w:lang w:val="en-US"/>
        </w:rPr>
        <w:t>in Karlovy Vary</w:t>
      </w:r>
      <w:r w:rsidR="00771EB4" w:rsidRPr="003F423B">
        <w:rPr>
          <w:bCs/>
          <w:sz w:val="22"/>
          <w:lang w:val="en-US"/>
        </w:rPr>
        <w:t xml:space="preserve"> city</w:t>
      </w:r>
      <w:r w:rsidRPr="003F423B">
        <w:rPr>
          <w:bCs/>
          <w:sz w:val="22"/>
          <w:lang w:val="en-US"/>
        </w:rPr>
        <w:t>.</w:t>
      </w:r>
    </w:p>
    <w:p w:rsidR="00025705" w:rsidRPr="003F423B" w:rsidRDefault="00025705" w:rsidP="003F423B">
      <w:pPr>
        <w:pStyle w:val="CM-heading1"/>
      </w:pPr>
      <w:r w:rsidRPr="003F423B">
        <w:t>Results</w:t>
      </w:r>
    </w:p>
    <w:p w:rsidR="00A92F4F" w:rsidRPr="003F423B" w:rsidRDefault="00025705" w:rsidP="003F423B">
      <w:pPr>
        <w:ind w:firstLine="708"/>
        <w:rPr>
          <w:bCs/>
          <w:sz w:val="22"/>
          <w:lang w:val="en-US"/>
        </w:rPr>
      </w:pPr>
      <w:r w:rsidRPr="003F423B">
        <w:rPr>
          <w:bCs/>
          <w:sz w:val="22"/>
          <w:lang w:val="en-US"/>
        </w:rPr>
        <w:t>Based on the aggregate analysis of samples of structures financed from public funds in the Czech Republic, it was found that, on average, six construction projects out of ten would fail to meet the contractual price.</w:t>
      </w:r>
    </w:p>
    <w:p w:rsidR="006E6119" w:rsidRPr="003F423B" w:rsidRDefault="006E6119" w:rsidP="003F423B">
      <w:pPr>
        <w:spacing w:after="120"/>
        <w:ind w:firstLine="708"/>
        <w:rPr>
          <w:noProof/>
          <w:sz w:val="22"/>
          <w:lang w:val="en-US"/>
        </w:rPr>
      </w:pPr>
      <w:r w:rsidRPr="003F423B">
        <w:rPr>
          <w:noProof/>
          <w:sz w:val="22"/>
          <w:lang w:val="en-US"/>
        </w:rPr>
        <w:t xml:space="preserve">After the division of the samples into the relevant categories (Table 1), the most expensive projects were found in the category of the transport structures, where seven buildings out of ten failed to comply with the contract price. The very opposite were project in the category of water management structures,  where six buildings out of ten adhered to contract prices. The main reason for not complying with the contractual price for each category of buildings are mentioned below in the following text. </w:t>
      </w:r>
    </w:p>
    <w:p w:rsidR="006254DB" w:rsidRPr="003F423B" w:rsidRDefault="008457E5" w:rsidP="00E97F80">
      <w:pPr>
        <w:rPr>
          <w:b/>
          <w:sz w:val="20"/>
          <w:szCs w:val="20"/>
          <w:lang w:val="en-US"/>
        </w:rPr>
      </w:pPr>
      <w:r w:rsidRPr="003F423B">
        <w:rPr>
          <w:noProof/>
          <w:sz w:val="20"/>
          <w:szCs w:val="20"/>
        </w:rPr>
        <w:drawing>
          <wp:anchor distT="0" distB="0" distL="114300" distR="114300" simplePos="0" relativeHeight="251723264" behindDoc="1" locked="0" layoutInCell="1" allowOverlap="1">
            <wp:simplePos x="0" y="0"/>
            <wp:positionH relativeFrom="margin">
              <wp:posOffset>542290</wp:posOffset>
            </wp:positionH>
            <wp:positionV relativeFrom="paragraph">
              <wp:posOffset>345440</wp:posOffset>
            </wp:positionV>
            <wp:extent cx="4581525" cy="2522828"/>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522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705" w:rsidRPr="003F423B">
        <w:rPr>
          <w:b/>
          <w:sz w:val="20"/>
          <w:szCs w:val="20"/>
          <w:lang w:val="en-US"/>
        </w:rPr>
        <w:t>Table 1 - Analysis of compliance with the contractual price of the public construction project budget in the Czech Republic.</w:t>
      </w:r>
      <w:r w:rsidR="006254DB" w:rsidRPr="003F423B">
        <w:rPr>
          <w:b/>
          <w:sz w:val="20"/>
          <w:szCs w:val="20"/>
          <w:lang w:val="en-US"/>
        </w:rPr>
        <w:t xml:space="preserve"> </w:t>
      </w:r>
    </w:p>
    <w:p w:rsidR="00E97F80" w:rsidRPr="00177373" w:rsidRDefault="00E97F80" w:rsidP="00E97F80">
      <w:pPr>
        <w:jc w:val="both"/>
        <w:rPr>
          <w:b/>
          <w:szCs w:val="24"/>
          <w:lang w:val="en-US"/>
        </w:rPr>
      </w:pPr>
    </w:p>
    <w:p w:rsidR="00E97F80" w:rsidRPr="00177373" w:rsidRDefault="00E97F80" w:rsidP="00E97F80">
      <w:pPr>
        <w:jc w:val="both"/>
        <w:rPr>
          <w:b/>
          <w:szCs w:val="24"/>
          <w:lang w:val="en-US"/>
        </w:rPr>
      </w:pPr>
    </w:p>
    <w:p w:rsidR="00E97F80" w:rsidRPr="00177373" w:rsidRDefault="00E97F80" w:rsidP="00E97F80">
      <w:pPr>
        <w:jc w:val="both"/>
        <w:rPr>
          <w:b/>
          <w:szCs w:val="24"/>
          <w:lang w:val="en-US"/>
        </w:rPr>
      </w:pPr>
    </w:p>
    <w:p w:rsidR="00E97F80" w:rsidRPr="00177373" w:rsidRDefault="00E97F80" w:rsidP="00E97F80">
      <w:pPr>
        <w:jc w:val="both"/>
        <w:rPr>
          <w:b/>
          <w:szCs w:val="24"/>
          <w:lang w:val="en-US"/>
        </w:rPr>
      </w:pPr>
    </w:p>
    <w:p w:rsidR="008457E5" w:rsidRDefault="008457E5" w:rsidP="007F0964">
      <w:pPr>
        <w:spacing w:after="0"/>
        <w:rPr>
          <w:b/>
          <w:noProof/>
          <w:color w:val="000000" w:themeColor="text1"/>
          <w:szCs w:val="24"/>
          <w:lang w:val="en-US"/>
        </w:rPr>
      </w:pPr>
    </w:p>
    <w:p w:rsidR="008457E5" w:rsidRDefault="008457E5" w:rsidP="007F0964">
      <w:pPr>
        <w:spacing w:after="0"/>
        <w:rPr>
          <w:b/>
          <w:noProof/>
          <w:color w:val="000000" w:themeColor="text1"/>
          <w:szCs w:val="24"/>
          <w:lang w:val="en-US"/>
        </w:rPr>
      </w:pPr>
    </w:p>
    <w:p w:rsidR="008457E5" w:rsidRDefault="008457E5" w:rsidP="007F0964">
      <w:pPr>
        <w:spacing w:after="0"/>
        <w:rPr>
          <w:b/>
          <w:noProof/>
          <w:color w:val="000000" w:themeColor="text1"/>
          <w:szCs w:val="24"/>
          <w:lang w:val="en-US"/>
        </w:rPr>
      </w:pPr>
    </w:p>
    <w:p w:rsidR="008457E5" w:rsidRDefault="008457E5" w:rsidP="007F0964">
      <w:pPr>
        <w:spacing w:after="0"/>
        <w:rPr>
          <w:b/>
          <w:noProof/>
          <w:color w:val="000000" w:themeColor="text1"/>
          <w:szCs w:val="24"/>
          <w:lang w:val="en-US"/>
        </w:rPr>
      </w:pPr>
    </w:p>
    <w:p w:rsidR="007F0964" w:rsidRPr="003F423B" w:rsidRDefault="00EF104F" w:rsidP="007F0964">
      <w:pPr>
        <w:spacing w:after="0"/>
        <w:rPr>
          <w:b/>
          <w:noProof/>
          <w:color w:val="000000" w:themeColor="text1"/>
          <w:sz w:val="22"/>
          <w:lang w:val="en-US"/>
        </w:rPr>
      </w:pPr>
      <w:r w:rsidRPr="003F423B">
        <w:rPr>
          <w:b/>
          <w:noProof/>
          <w:color w:val="000000" w:themeColor="text1"/>
          <w:sz w:val="22"/>
          <w:lang w:val="en-US"/>
        </w:rPr>
        <w:lastRenderedPageBreak/>
        <w:t>Transport structures</w:t>
      </w:r>
    </w:p>
    <w:p w:rsidR="00BF0A3E" w:rsidRPr="003F423B" w:rsidRDefault="00D74678" w:rsidP="003F423B">
      <w:pPr>
        <w:spacing w:after="0"/>
        <w:ind w:firstLine="708"/>
        <w:jc w:val="both"/>
        <w:rPr>
          <w:bCs/>
          <w:sz w:val="22"/>
          <w:lang w:val="en-US"/>
        </w:rPr>
      </w:pPr>
      <w:r w:rsidRPr="003F423B">
        <w:rPr>
          <w:bCs/>
          <w:sz w:val="22"/>
          <w:lang w:val="en-US"/>
        </w:rPr>
        <w:t>Out of</w:t>
      </w:r>
      <w:r w:rsidR="006E6119" w:rsidRPr="003F423B">
        <w:rPr>
          <w:bCs/>
          <w:sz w:val="22"/>
          <w:lang w:val="en-US"/>
        </w:rPr>
        <w:t xml:space="preserve"> </w:t>
      </w:r>
      <w:r w:rsidRPr="003F423B">
        <w:rPr>
          <w:bCs/>
          <w:sz w:val="22"/>
          <w:lang w:val="en-US"/>
        </w:rPr>
        <w:t xml:space="preserve">71 projects, </w:t>
      </w:r>
      <w:r w:rsidR="006E6119" w:rsidRPr="003F423B">
        <w:rPr>
          <w:bCs/>
          <w:sz w:val="22"/>
          <w:lang w:val="en-US"/>
        </w:rPr>
        <w:t xml:space="preserve">some type of </w:t>
      </w:r>
      <w:r w:rsidRPr="003F423B">
        <w:rPr>
          <w:bCs/>
          <w:sz w:val="22"/>
          <w:lang w:val="en-US"/>
        </w:rPr>
        <w:t xml:space="preserve">error leading to a failure to comply with the contract budget </w:t>
      </w:r>
      <w:r w:rsidR="00EF104F" w:rsidRPr="003F423B">
        <w:rPr>
          <w:bCs/>
          <w:sz w:val="22"/>
          <w:lang w:val="en-US"/>
        </w:rPr>
        <w:t>was found</w:t>
      </w:r>
      <w:r w:rsidR="006E6119" w:rsidRPr="003F423B">
        <w:rPr>
          <w:bCs/>
          <w:sz w:val="22"/>
          <w:lang w:val="en-US"/>
        </w:rPr>
        <w:t xml:space="preserve"> in 66% of them</w:t>
      </w:r>
      <w:r w:rsidR="008F35D7" w:rsidRPr="003F423B">
        <w:rPr>
          <w:bCs/>
          <w:sz w:val="22"/>
          <w:lang w:val="en-US"/>
        </w:rPr>
        <w:t xml:space="preserve">, </w:t>
      </w:r>
      <w:r w:rsidR="006E6119" w:rsidRPr="003F423B">
        <w:rPr>
          <w:bCs/>
          <w:sz w:val="22"/>
          <w:lang w:val="en-US"/>
        </w:rPr>
        <w:t xml:space="preserve">as </w:t>
      </w:r>
      <w:r w:rsidR="008F35D7" w:rsidRPr="003F423B">
        <w:rPr>
          <w:bCs/>
          <w:sz w:val="22"/>
          <w:lang w:val="en-US"/>
        </w:rPr>
        <w:t xml:space="preserve">summarized in </w:t>
      </w:r>
      <w:r w:rsidR="00EF104F" w:rsidRPr="003F423B">
        <w:rPr>
          <w:bCs/>
          <w:sz w:val="22"/>
          <w:lang w:val="en-US"/>
        </w:rPr>
        <w:t>the</w:t>
      </w:r>
      <w:r w:rsidRPr="003F423B">
        <w:rPr>
          <w:bCs/>
          <w:sz w:val="22"/>
          <w:lang w:val="en-US"/>
        </w:rPr>
        <w:t xml:space="preserve"> </w:t>
      </w:r>
      <w:r w:rsidR="008F35D7" w:rsidRPr="003F423B">
        <w:rPr>
          <w:bCs/>
          <w:sz w:val="22"/>
          <w:lang w:val="en-US"/>
        </w:rPr>
        <w:t>Figure</w:t>
      </w:r>
      <w:r w:rsidRPr="003F423B">
        <w:rPr>
          <w:bCs/>
          <w:sz w:val="22"/>
          <w:lang w:val="en-US"/>
        </w:rPr>
        <w:t xml:space="preserve"> 1</w:t>
      </w:r>
      <w:r w:rsidR="008F35D7" w:rsidRPr="003F423B">
        <w:rPr>
          <w:bCs/>
          <w:sz w:val="22"/>
          <w:lang w:val="en-US"/>
        </w:rPr>
        <w:t xml:space="preserve">. </w:t>
      </w:r>
    </w:p>
    <w:p w:rsidR="009643DA" w:rsidRPr="003F423B" w:rsidRDefault="009643DA" w:rsidP="002C64FE">
      <w:pPr>
        <w:jc w:val="both"/>
        <w:rPr>
          <w:bCs/>
          <w:sz w:val="22"/>
          <w:lang w:val="en-US"/>
        </w:rPr>
      </w:pPr>
      <w:r w:rsidRPr="003F423B">
        <w:rPr>
          <w:bCs/>
          <w:sz w:val="22"/>
          <w:lang w:val="en-US"/>
        </w:rPr>
        <w:t xml:space="preserve">Examples of projects in this category include the road bypass around the city of </w:t>
      </w:r>
      <w:proofErr w:type="spellStart"/>
      <w:r w:rsidRPr="003F423B">
        <w:rPr>
          <w:bCs/>
          <w:sz w:val="22"/>
          <w:lang w:val="en-US"/>
        </w:rPr>
        <w:t>Kolín</w:t>
      </w:r>
      <w:proofErr w:type="spellEnd"/>
      <w:r w:rsidRPr="003F423B">
        <w:rPr>
          <w:bCs/>
          <w:sz w:val="22"/>
          <w:lang w:val="en-US"/>
        </w:rPr>
        <w:t xml:space="preserve">, the </w:t>
      </w:r>
      <w:proofErr w:type="spellStart"/>
      <w:r w:rsidRPr="003F423B">
        <w:rPr>
          <w:bCs/>
          <w:sz w:val="22"/>
          <w:lang w:val="en-US"/>
        </w:rPr>
        <w:t>Blanka</w:t>
      </w:r>
      <w:proofErr w:type="spellEnd"/>
      <w:r w:rsidRPr="003F423B">
        <w:rPr>
          <w:bCs/>
          <w:sz w:val="22"/>
          <w:lang w:val="en-US"/>
        </w:rPr>
        <w:t xml:space="preserve"> tunnel complex, the I/38 road or the modernization of the </w:t>
      </w:r>
      <w:proofErr w:type="spellStart"/>
      <w:r w:rsidRPr="003F423B">
        <w:rPr>
          <w:bCs/>
          <w:sz w:val="22"/>
          <w:lang w:val="en-US"/>
        </w:rPr>
        <w:t>Veselí</w:t>
      </w:r>
      <w:proofErr w:type="spellEnd"/>
      <w:r w:rsidRPr="003F423B">
        <w:rPr>
          <w:bCs/>
          <w:sz w:val="22"/>
          <w:lang w:val="en-US"/>
        </w:rPr>
        <w:t xml:space="preserve"> </w:t>
      </w:r>
      <w:proofErr w:type="spellStart"/>
      <w:proofErr w:type="gramStart"/>
      <w:r w:rsidRPr="003F423B">
        <w:rPr>
          <w:bCs/>
          <w:sz w:val="22"/>
          <w:lang w:val="en-US"/>
        </w:rPr>
        <w:t>nad</w:t>
      </w:r>
      <w:proofErr w:type="spellEnd"/>
      <w:proofErr w:type="gramEnd"/>
      <w:r w:rsidRPr="003F423B">
        <w:rPr>
          <w:bCs/>
          <w:sz w:val="22"/>
          <w:lang w:val="en-US"/>
        </w:rPr>
        <w:t xml:space="preserve"> </w:t>
      </w:r>
      <w:proofErr w:type="spellStart"/>
      <w:r w:rsidRPr="003F423B">
        <w:rPr>
          <w:bCs/>
          <w:sz w:val="22"/>
          <w:lang w:val="en-US"/>
        </w:rPr>
        <w:t>Lužnicí</w:t>
      </w:r>
      <w:proofErr w:type="spellEnd"/>
      <w:r w:rsidRPr="003F423B">
        <w:rPr>
          <w:bCs/>
          <w:sz w:val="22"/>
          <w:lang w:val="en-US"/>
        </w:rPr>
        <w:t xml:space="preserve"> - </w:t>
      </w:r>
      <w:proofErr w:type="spellStart"/>
      <w:r w:rsidRPr="003F423B">
        <w:rPr>
          <w:bCs/>
          <w:sz w:val="22"/>
          <w:lang w:val="en-US"/>
        </w:rPr>
        <w:t>Soběslav</w:t>
      </w:r>
      <w:proofErr w:type="spellEnd"/>
      <w:r w:rsidRPr="003F423B">
        <w:rPr>
          <w:bCs/>
          <w:sz w:val="22"/>
          <w:lang w:val="en-US"/>
        </w:rPr>
        <w:t xml:space="preserve"> </w:t>
      </w:r>
      <w:r w:rsidR="00894AE8" w:rsidRPr="003F423B">
        <w:rPr>
          <w:bCs/>
          <w:sz w:val="22"/>
          <w:lang w:val="en-US"/>
        </w:rPr>
        <w:t xml:space="preserve">railway </w:t>
      </w:r>
      <w:r w:rsidRPr="003F423B">
        <w:rPr>
          <w:bCs/>
          <w:sz w:val="22"/>
          <w:lang w:val="en-US"/>
        </w:rPr>
        <w:t>line.</w:t>
      </w:r>
    </w:p>
    <w:p w:rsidR="00D74678" w:rsidRPr="003F423B" w:rsidRDefault="008F35D7" w:rsidP="00D74678">
      <w:pPr>
        <w:spacing w:after="0"/>
        <w:rPr>
          <w:b/>
          <w:sz w:val="20"/>
          <w:szCs w:val="20"/>
          <w:lang w:val="en-US"/>
        </w:rPr>
      </w:pPr>
      <w:r w:rsidRPr="003F423B">
        <w:rPr>
          <w:b/>
          <w:sz w:val="20"/>
          <w:szCs w:val="20"/>
          <w:lang w:val="en-US"/>
        </w:rPr>
        <w:t>Figure</w:t>
      </w:r>
      <w:r w:rsidR="00D74678" w:rsidRPr="003F423B">
        <w:rPr>
          <w:b/>
          <w:sz w:val="20"/>
          <w:szCs w:val="20"/>
          <w:lang w:val="en-US"/>
        </w:rPr>
        <w:t xml:space="preserve"> 1 </w:t>
      </w:r>
      <w:r w:rsidR="00C92399" w:rsidRPr="003F423B">
        <w:rPr>
          <w:b/>
          <w:sz w:val="20"/>
          <w:szCs w:val="20"/>
          <w:lang w:val="en-US"/>
        </w:rPr>
        <w:t>–</w:t>
      </w:r>
      <w:r w:rsidR="00D74678" w:rsidRPr="003F423B">
        <w:rPr>
          <w:b/>
          <w:sz w:val="20"/>
          <w:szCs w:val="20"/>
          <w:lang w:val="en-US"/>
        </w:rPr>
        <w:t xml:space="preserve"> </w:t>
      </w:r>
      <w:r w:rsidR="00C92399" w:rsidRPr="003F423B">
        <w:rPr>
          <w:b/>
          <w:sz w:val="20"/>
          <w:szCs w:val="20"/>
          <w:lang w:val="en-US"/>
        </w:rPr>
        <w:t xml:space="preserve">The main reasons </w:t>
      </w:r>
      <w:r w:rsidR="00D74678" w:rsidRPr="003F423B">
        <w:rPr>
          <w:b/>
          <w:sz w:val="20"/>
          <w:szCs w:val="20"/>
          <w:lang w:val="en-US"/>
        </w:rPr>
        <w:t xml:space="preserve">of </w:t>
      </w:r>
      <w:r w:rsidR="00C92399" w:rsidRPr="003F423B">
        <w:rPr>
          <w:b/>
          <w:sz w:val="20"/>
          <w:szCs w:val="20"/>
          <w:lang w:val="en-US"/>
        </w:rPr>
        <w:t>non-</w:t>
      </w:r>
      <w:r w:rsidR="00D74678" w:rsidRPr="003F423B">
        <w:rPr>
          <w:b/>
          <w:sz w:val="20"/>
          <w:szCs w:val="20"/>
          <w:lang w:val="en-US"/>
        </w:rPr>
        <w:t xml:space="preserve">compliance with the contractual </w:t>
      </w:r>
      <w:r w:rsidR="009643DA" w:rsidRPr="003F423B">
        <w:rPr>
          <w:b/>
          <w:sz w:val="20"/>
          <w:szCs w:val="20"/>
          <w:lang w:val="en-US"/>
        </w:rPr>
        <w:t>cost of</w:t>
      </w:r>
      <w:r w:rsidR="00D74678" w:rsidRPr="003F423B">
        <w:rPr>
          <w:b/>
          <w:sz w:val="20"/>
          <w:szCs w:val="20"/>
          <w:lang w:val="en-US"/>
        </w:rPr>
        <w:t xml:space="preserve"> transport </w:t>
      </w:r>
      <w:r w:rsidR="009643DA" w:rsidRPr="003F423B">
        <w:rPr>
          <w:b/>
          <w:sz w:val="20"/>
          <w:szCs w:val="20"/>
          <w:lang w:val="en-US"/>
        </w:rPr>
        <w:t xml:space="preserve">structures, based on our own data analysis. </w:t>
      </w:r>
    </w:p>
    <w:p w:rsidR="00E94E19" w:rsidRPr="00177373" w:rsidRDefault="00D74678" w:rsidP="006C46D8">
      <w:pPr>
        <w:rPr>
          <w:noProof/>
          <w:lang w:val="en-US"/>
        </w:rPr>
      </w:pPr>
      <w:r w:rsidRPr="00177373">
        <w:rPr>
          <w:noProof/>
        </w:rPr>
        <w:drawing>
          <wp:anchor distT="0" distB="0" distL="114300" distR="114300" simplePos="0" relativeHeight="251718144" behindDoc="1" locked="0" layoutInCell="1" allowOverlap="1">
            <wp:simplePos x="0" y="0"/>
            <wp:positionH relativeFrom="margin">
              <wp:posOffset>1231265</wp:posOffset>
            </wp:positionH>
            <wp:positionV relativeFrom="paragraph">
              <wp:posOffset>90805</wp:posOffset>
            </wp:positionV>
            <wp:extent cx="3305175" cy="2018665"/>
            <wp:effectExtent l="0" t="0" r="9525" b="63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2018665"/>
                    </a:xfrm>
                    <a:prstGeom prst="rect">
                      <a:avLst/>
                    </a:prstGeom>
                    <a:noFill/>
                  </pic:spPr>
                </pic:pic>
              </a:graphicData>
            </a:graphic>
            <wp14:sizeRelH relativeFrom="margin">
              <wp14:pctWidth>0</wp14:pctWidth>
            </wp14:sizeRelH>
            <wp14:sizeRelV relativeFrom="margin">
              <wp14:pctHeight>0</wp14:pctHeight>
            </wp14:sizeRelV>
          </wp:anchor>
        </w:drawing>
      </w:r>
    </w:p>
    <w:p w:rsidR="00F41F90" w:rsidRPr="00177373" w:rsidRDefault="00F41F90" w:rsidP="006C46D8">
      <w:pPr>
        <w:rPr>
          <w:noProof/>
          <w:lang w:val="en-US"/>
        </w:rPr>
      </w:pPr>
    </w:p>
    <w:p w:rsidR="00F82062" w:rsidRPr="00177373" w:rsidRDefault="00F82062" w:rsidP="000F4011">
      <w:pPr>
        <w:ind w:firstLine="708"/>
        <w:rPr>
          <w:lang w:val="en-US"/>
        </w:rPr>
      </w:pPr>
    </w:p>
    <w:p w:rsidR="00E94E19" w:rsidRPr="00177373" w:rsidRDefault="00E94E19" w:rsidP="00C14E07">
      <w:pPr>
        <w:ind w:left="1170" w:hanging="990"/>
        <w:jc w:val="both"/>
        <w:rPr>
          <w:b/>
          <w:sz w:val="22"/>
          <w:lang w:val="en-US"/>
        </w:rPr>
      </w:pPr>
    </w:p>
    <w:p w:rsidR="00906019" w:rsidRPr="00177373" w:rsidRDefault="00906019" w:rsidP="00C14E07">
      <w:pPr>
        <w:ind w:left="1170" w:hanging="990"/>
        <w:jc w:val="both"/>
        <w:rPr>
          <w:b/>
          <w:sz w:val="22"/>
          <w:lang w:val="en-US"/>
        </w:rPr>
      </w:pPr>
    </w:p>
    <w:p w:rsidR="00E97F80" w:rsidRPr="00177373" w:rsidRDefault="00E97F80" w:rsidP="00E97F80">
      <w:pPr>
        <w:spacing w:after="0"/>
        <w:ind w:left="1170" w:hanging="990"/>
        <w:jc w:val="both"/>
        <w:rPr>
          <w:b/>
          <w:szCs w:val="24"/>
          <w:lang w:val="en-US"/>
        </w:rPr>
      </w:pPr>
    </w:p>
    <w:p w:rsidR="00E97F80" w:rsidRPr="00177373" w:rsidRDefault="0004422D" w:rsidP="0082458E">
      <w:pPr>
        <w:spacing w:after="120"/>
        <w:rPr>
          <w:bCs/>
          <w:szCs w:val="24"/>
          <w:lang w:val="en-US"/>
        </w:rPr>
      </w:pPr>
      <w:r w:rsidRPr="00177373">
        <w:rPr>
          <w:bCs/>
          <w:szCs w:val="24"/>
          <w:lang w:val="en-US"/>
        </w:rPr>
        <w:t xml:space="preserve">      </w:t>
      </w:r>
    </w:p>
    <w:p w:rsidR="002C64FE" w:rsidRPr="00177373" w:rsidRDefault="002C64FE" w:rsidP="00432A7D">
      <w:pPr>
        <w:spacing w:after="0"/>
        <w:rPr>
          <w:b/>
          <w:bCs/>
          <w:szCs w:val="24"/>
          <w:lang w:val="en-US"/>
        </w:rPr>
      </w:pPr>
    </w:p>
    <w:p w:rsidR="009B2834" w:rsidRPr="003F423B" w:rsidRDefault="00EB7D61" w:rsidP="00432A7D">
      <w:pPr>
        <w:spacing w:after="0"/>
        <w:rPr>
          <w:b/>
          <w:bCs/>
          <w:sz w:val="22"/>
          <w:lang w:val="en-US"/>
        </w:rPr>
      </w:pPr>
      <w:r w:rsidRPr="003F423B">
        <w:rPr>
          <w:b/>
          <w:bCs/>
          <w:sz w:val="22"/>
          <w:lang w:val="en-US"/>
        </w:rPr>
        <w:t>W</w:t>
      </w:r>
      <w:r w:rsidR="009B2834" w:rsidRPr="003F423B">
        <w:rPr>
          <w:b/>
          <w:bCs/>
          <w:sz w:val="22"/>
          <w:lang w:val="en-US"/>
        </w:rPr>
        <w:t>ater management structures</w:t>
      </w:r>
    </w:p>
    <w:p w:rsidR="00432A7D" w:rsidRPr="003F423B" w:rsidRDefault="008124AE" w:rsidP="003F423B">
      <w:pPr>
        <w:spacing w:after="0"/>
        <w:ind w:firstLine="708"/>
        <w:jc w:val="both"/>
        <w:rPr>
          <w:bCs/>
          <w:sz w:val="22"/>
          <w:lang w:val="en-US"/>
        </w:rPr>
      </w:pPr>
      <w:r w:rsidRPr="003F423B">
        <w:rPr>
          <w:bCs/>
          <w:sz w:val="22"/>
          <w:lang w:val="en-US"/>
        </w:rPr>
        <w:t>Out of the total sample of 14 projects, 43%</w:t>
      </w:r>
      <w:r w:rsidR="00EB7D61" w:rsidRPr="003F423B">
        <w:rPr>
          <w:bCs/>
          <w:sz w:val="22"/>
          <w:lang w:val="en-US"/>
        </w:rPr>
        <w:t xml:space="preserve"> were</w:t>
      </w:r>
      <w:r w:rsidRPr="003F423B">
        <w:rPr>
          <w:bCs/>
          <w:sz w:val="22"/>
          <w:lang w:val="en-US"/>
        </w:rPr>
        <w:t xml:space="preserve"> found </w:t>
      </w:r>
      <w:r w:rsidR="00EB7D61" w:rsidRPr="003F423B">
        <w:rPr>
          <w:bCs/>
          <w:sz w:val="22"/>
          <w:lang w:val="en-US"/>
        </w:rPr>
        <w:t>to encompass an</w:t>
      </w:r>
      <w:r w:rsidRPr="003F423B">
        <w:rPr>
          <w:bCs/>
          <w:sz w:val="22"/>
          <w:lang w:val="en-US"/>
        </w:rPr>
        <w:t xml:space="preserve"> error leading to non-compliance with the </w:t>
      </w:r>
      <w:r w:rsidR="00EB7D61" w:rsidRPr="003F423B">
        <w:rPr>
          <w:bCs/>
          <w:sz w:val="22"/>
          <w:lang w:val="en-US"/>
        </w:rPr>
        <w:t>agreed construction</w:t>
      </w:r>
      <w:r w:rsidRPr="003F423B">
        <w:rPr>
          <w:bCs/>
          <w:sz w:val="22"/>
          <w:lang w:val="en-US"/>
        </w:rPr>
        <w:t xml:space="preserve"> budget</w:t>
      </w:r>
      <w:r w:rsidR="008F35D7" w:rsidRPr="003F423B">
        <w:rPr>
          <w:bCs/>
          <w:sz w:val="22"/>
          <w:lang w:val="en-US"/>
        </w:rPr>
        <w:t xml:space="preserve">, </w:t>
      </w:r>
      <w:r w:rsidR="00C521FB" w:rsidRPr="003F423B">
        <w:rPr>
          <w:bCs/>
          <w:sz w:val="22"/>
          <w:lang w:val="en-US"/>
        </w:rPr>
        <w:t xml:space="preserve">as </w:t>
      </w:r>
      <w:r w:rsidR="008F35D7" w:rsidRPr="003F423B">
        <w:rPr>
          <w:bCs/>
          <w:sz w:val="22"/>
          <w:lang w:val="en-US"/>
        </w:rPr>
        <w:t xml:space="preserve">summarized in Figure 2. </w:t>
      </w:r>
      <w:r w:rsidR="003436BC" w:rsidRPr="003F423B">
        <w:rPr>
          <w:bCs/>
          <w:sz w:val="22"/>
          <w:lang w:val="en-US"/>
        </w:rPr>
        <w:t>A</w:t>
      </w:r>
      <w:r w:rsidRPr="003F423B">
        <w:rPr>
          <w:bCs/>
          <w:sz w:val="22"/>
          <w:lang w:val="en-US"/>
        </w:rPr>
        <w:t xml:space="preserve">pproximately four projects out of </w:t>
      </w:r>
      <w:r w:rsidR="003436BC" w:rsidRPr="003F423B">
        <w:rPr>
          <w:bCs/>
          <w:sz w:val="22"/>
          <w:lang w:val="en-US"/>
        </w:rPr>
        <w:t>ten</w:t>
      </w:r>
      <w:r w:rsidRPr="003F423B">
        <w:rPr>
          <w:bCs/>
          <w:sz w:val="22"/>
          <w:lang w:val="en-US"/>
        </w:rPr>
        <w:t xml:space="preserve"> </w:t>
      </w:r>
      <w:r w:rsidR="003436BC" w:rsidRPr="003F423B">
        <w:rPr>
          <w:bCs/>
          <w:sz w:val="22"/>
          <w:lang w:val="en-US"/>
        </w:rPr>
        <w:t>were</w:t>
      </w:r>
      <w:r w:rsidRPr="003F423B">
        <w:rPr>
          <w:bCs/>
          <w:sz w:val="22"/>
          <w:lang w:val="en-US"/>
        </w:rPr>
        <w:t xml:space="preserve"> in breach of the contractual budget.</w:t>
      </w:r>
      <w:r w:rsidR="00AC59F0" w:rsidRPr="003F423B">
        <w:rPr>
          <w:bCs/>
          <w:sz w:val="22"/>
          <w:lang w:val="en-US"/>
        </w:rPr>
        <w:t xml:space="preserve"> Examples of projects in this category include: revitalization of </w:t>
      </w:r>
      <w:proofErr w:type="spellStart"/>
      <w:r w:rsidR="00AC59F0" w:rsidRPr="003F423B">
        <w:rPr>
          <w:bCs/>
          <w:sz w:val="22"/>
          <w:lang w:val="en-US"/>
        </w:rPr>
        <w:t>Rokytka</w:t>
      </w:r>
      <w:proofErr w:type="spellEnd"/>
      <w:r w:rsidR="00AC59F0" w:rsidRPr="003F423B">
        <w:rPr>
          <w:bCs/>
          <w:sz w:val="22"/>
          <w:lang w:val="en-US"/>
        </w:rPr>
        <w:t xml:space="preserve"> and </w:t>
      </w:r>
      <w:proofErr w:type="spellStart"/>
      <w:r w:rsidR="00AC59F0" w:rsidRPr="003F423B">
        <w:rPr>
          <w:bCs/>
          <w:sz w:val="22"/>
          <w:lang w:val="en-US"/>
        </w:rPr>
        <w:t>Hostavický</w:t>
      </w:r>
      <w:proofErr w:type="spellEnd"/>
      <w:r w:rsidR="00AC59F0" w:rsidRPr="003F423B">
        <w:rPr>
          <w:bCs/>
          <w:sz w:val="22"/>
          <w:lang w:val="en-US"/>
        </w:rPr>
        <w:t xml:space="preserve"> </w:t>
      </w:r>
      <w:proofErr w:type="spellStart"/>
      <w:r w:rsidR="00AC59F0" w:rsidRPr="003F423B">
        <w:rPr>
          <w:bCs/>
          <w:sz w:val="22"/>
          <w:lang w:val="en-US"/>
        </w:rPr>
        <w:t>potok</w:t>
      </w:r>
      <w:proofErr w:type="spellEnd"/>
      <w:r w:rsidR="00AC59F0" w:rsidRPr="003F423B">
        <w:rPr>
          <w:bCs/>
          <w:sz w:val="22"/>
          <w:lang w:val="en-US"/>
        </w:rPr>
        <w:t xml:space="preserve"> (brook), reconstruction of the pond</w:t>
      </w:r>
      <w:r w:rsidR="00435258" w:rsidRPr="003F423B">
        <w:rPr>
          <w:bCs/>
          <w:sz w:val="22"/>
          <w:lang w:val="en-US"/>
        </w:rPr>
        <w:t xml:space="preserve"> “</w:t>
      </w:r>
      <w:proofErr w:type="spellStart"/>
      <w:r w:rsidR="00435258" w:rsidRPr="003F423B">
        <w:rPr>
          <w:bCs/>
          <w:sz w:val="22"/>
          <w:lang w:val="en-US"/>
        </w:rPr>
        <w:t>Jordán</w:t>
      </w:r>
      <w:proofErr w:type="spellEnd"/>
      <w:r w:rsidR="00435258" w:rsidRPr="003F423B">
        <w:rPr>
          <w:bCs/>
          <w:sz w:val="22"/>
          <w:lang w:val="en-US"/>
        </w:rPr>
        <w:t>”</w:t>
      </w:r>
      <w:r w:rsidR="00AC59F0" w:rsidRPr="003F423B">
        <w:rPr>
          <w:bCs/>
          <w:sz w:val="22"/>
          <w:lang w:val="en-US"/>
        </w:rPr>
        <w:t xml:space="preserve"> in </w:t>
      </w:r>
      <w:proofErr w:type="spellStart"/>
      <w:r w:rsidR="00AC59F0" w:rsidRPr="003F423B">
        <w:rPr>
          <w:bCs/>
          <w:sz w:val="22"/>
          <w:lang w:val="en-US"/>
        </w:rPr>
        <w:t>Tábor</w:t>
      </w:r>
      <w:proofErr w:type="spellEnd"/>
      <w:r w:rsidR="00435258" w:rsidRPr="003F423B">
        <w:rPr>
          <w:bCs/>
          <w:sz w:val="22"/>
          <w:lang w:val="en-US"/>
        </w:rPr>
        <w:t xml:space="preserve"> city</w:t>
      </w:r>
      <w:r w:rsidR="00AC59F0" w:rsidRPr="003F423B">
        <w:rPr>
          <w:bCs/>
          <w:sz w:val="22"/>
          <w:lang w:val="en-US"/>
        </w:rPr>
        <w:t xml:space="preserve">, </w:t>
      </w:r>
      <w:r w:rsidR="0008131E" w:rsidRPr="003F423B">
        <w:rPr>
          <w:bCs/>
          <w:sz w:val="22"/>
          <w:lang w:val="en-US"/>
        </w:rPr>
        <w:t xml:space="preserve">a </w:t>
      </w:r>
      <w:r w:rsidR="00AC59F0" w:rsidRPr="003F423B">
        <w:rPr>
          <w:bCs/>
          <w:sz w:val="22"/>
          <w:lang w:val="en-US"/>
        </w:rPr>
        <w:t xml:space="preserve">construction of a sewerage system in the village of </w:t>
      </w:r>
      <w:proofErr w:type="spellStart"/>
      <w:r w:rsidR="00AC59F0" w:rsidRPr="003F423B">
        <w:rPr>
          <w:bCs/>
          <w:sz w:val="22"/>
          <w:lang w:val="en-US"/>
        </w:rPr>
        <w:t>Půchov</w:t>
      </w:r>
      <w:proofErr w:type="spellEnd"/>
      <w:r w:rsidR="00AC59F0" w:rsidRPr="003F423B">
        <w:rPr>
          <w:bCs/>
          <w:sz w:val="22"/>
          <w:lang w:val="en-US"/>
        </w:rPr>
        <w:t>.</w:t>
      </w:r>
    </w:p>
    <w:p w:rsidR="00E97F80" w:rsidRPr="00177373" w:rsidRDefault="00E97F80" w:rsidP="00432A7D">
      <w:pPr>
        <w:spacing w:after="0"/>
        <w:rPr>
          <w:bCs/>
          <w:szCs w:val="24"/>
          <w:lang w:val="en-US"/>
        </w:rPr>
      </w:pPr>
    </w:p>
    <w:p w:rsidR="008124AE" w:rsidRPr="003F423B" w:rsidRDefault="008F35D7" w:rsidP="008124AE">
      <w:pPr>
        <w:spacing w:after="0"/>
        <w:rPr>
          <w:b/>
          <w:sz w:val="20"/>
          <w:szCs w:val="20"/>
          <w:lang w:val="en-US"/>
        </w:rPr>
      </w:pPr>
      <w:r w:rsidRPr="003F423B">
        <w:rPr>
          <w:b/>
          <w:sz w:val="20"/>
          <w:szCs w:val="20"/>
          <w:lang w:val="en-US"/>
        </w:rPr>
        <w:t>Figure</w:t>
      </w:r>
      <w:r w:rsidR="008124AE" w:rsidRPr="003F423B">
        <w:rPr>
          <w:b/>
          <w:sz w:val="20"/>
          <w:szCs w:val="20"/>
          <w:lang w:val="en-US"/>
        </w:rPr>
        <w:t xml:space="preserve"> 2 </w:t>
      </w:r>
      <w:r w:rsidR="00C92399" w:rsidRPr="003F423B">
        <w:rPr>
          <w:b/>
          <w:sz w:val="20"/>
          <w:szCs w:val="20"/>
          <w:lang w:val="en-US"/>
        </w:rPr>
        <w:t>–</w:t>
      </w:r>
      <w:r w:rsidR="008124AE" w:rsidRPr="003F423B">
        <w:rPr>
          <w:b/>
          <w:sz w:val="20"/>
          <w:szCs w:val="20"/>
          <w:lang w:val="en-US"/>
        </w:rPr>
        <w:t xml:space="preserve"> </w:t>
      </w:r>
      <w:r w:rsidR="00C92399" w:rsidRPr="003F423B">
        <w:rPr>
          <w:b/>
          <w:sz w:val="20"/>
          <w:szCs w:val="20"/>
          <w:lang w:val="en-US"/>
        </w:rPr>
        <w:t>The main reasons</w:t>
      </w:r>
      <w:r w:rsidR="008124AE" w:rsidRPr="003F423B">
        <w:rPr>
          <w:b/>
          <w:sz w:val="20"/>
          <w:szCs w:val="20"/>
          <w:lang w:val="en-US"/>
        </w:rPr>
        <w:t xml:space="preserve"> of non-compliance with the contractual </w:t>
      </w:r>
      <w:r w:rsidR="00C92399" w:rsidRPr="003F423B">
        <w:rPr>
          <w:b/>
          <w:sz w:val="20"/>
          <w:szCs w:val="20"/>
          <w:lang w:val="en-US"/>
        </w:rPr>
        <w:t xml:space="preserve">cost </w:t>
      </w:r>
      <w:r w:rsidR="008124AE" w:rsidRPr="003F423B">
        <w:rPr>
          <w:b/>
          <w:sz w:val="20"/>
          <w:szCs w:val="20"/>
          <w:lang w:val="en-US"/>
        </w:rPr>
        <w:t xml:space="preserve">of water management </w:t>
      </w:r>
      <w:r w:rsidR="00C92399" w:rsidRPr="003F423B">
        <w:rPr>
          <w:b/>
          <w:sz w:val="20"/>
          <w:szCs w:val="20"/>
          <w:lang w:val="en-US"/>
        </w:rPr>
        <w:t>structures</w:t>
      </w:r>
      <w:r w:rsidR="007B2E38" w:rsidRPr="003F423B">
        <w:rPr>
          <w:b/>
          <w:sz w:val="20"/>
          <w:szCs w:val="20"/>
          <w:lang w:val="en-US"/>
        </w:rPr>
        <w:t xml:space="preserve">, based on our own </w:t>
      </w:r>
      <w:r w:rsidR="008124AE" w:rsidRPr="003F423B">
        <w:rPr>
          <w:b/>
          <w:sz w:val="20"/>
          <w:szCs w:val="20"/>
          <w:lang w:val="en-US"/>
        </w:rPr>
        <w:t>investigation</w:t>
      </w:r>
      <w:r w:rsidR="007B2E38" w:rsidRPr="003F423B">
        <w:rPr>
          <w:b/>
          <w:sz w:val="20"/>
          <w:szCs w:val="20"/>
          <w:lang w:val="en-US"/>
        </w:rPr>
        <w:t>.</w:t>
      </w:r>
    </w:p>
    <w:p w:rsidR="00E97F80" w:rsidRPr="00177373" w:rsidRDefault="008124AE" w:rsidP="008124AE">
      <w:pPr>
        <w:spacing w:after="0"/>
        <w:rPr>
          <w:bCs/>
          <w:sz w:val="22"/>
          <w:lang w:val="en-US"/>
        </w:rPr>
      </w:pPr>
      <w:r w:rsidRPr="00177373">
        <w:rPr>
          <w:noProof/>
        </w:rPr>
        <w:drawing>
          <wp:anchor distT="0" distB="0" distL="114300" distR="114300" simplePos="0" relativeHeight="251719168" behindDoc="1" locked="0" layoutInCell="1" allowOverlap="1">
            <wp:simplePos x="0" y="0"/>
            <wp:positionH relativeFrom="margin">
              <wp:posOffset>1056640</wp:posOffset>
            </wp:positionH>
            <wp:positionV relativeFrom="paragraph">
              <wp:posOffset>74930</wp:posOffset>
            </wp:positionV>
            <wp:extent cx="3952875" cy="2028825"/>
            <wp:effectExtent l="0" t="0" r="9525" b="952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2875" cy="2028825"/>
                    </a:xfrm>
                    <a:prstGeom prst="rect">
                      <a:avLst/>
                    </a:prstGeom>
                    <a:noFill/>
                  </pic:spPr>
                </pic:pic>
              </a:graphicData>
            </a:graphic>
            <wp14:sizeRelH relativeFrom="margin">
              <wp14:pctWidth>0</wp14:pctWidth>
            </wp14:sizeRelH>
            <wp14:sizeRelV relativeFrom="margin">
              <wp14:pctHeight>0</wp14:pctHeight>
            </wp14:sizeRelV>
          </wp:anchor>
        </w:drawing>
      </w:r>
    </w:p>
    <w:p w:rsidR="00B512FE" w:rsidRPr="00177373" w:rsidRDefault="00B512FE" w:rsidP="00B512FE">
      <w:pPr>
        <w:spacing w:after="0"/>
        <w:rPr>
          <w:bCs/>
          <w:sz w:val="22"/>
          <w:lang w:val="en-US"/>
        </w:rPr>
      </w:pPr>
    </w:p>
    <w:p w:rsidR="00600613" w:rsidRPr="00177373" w:rsidRDefault="00600613" w:rsidP="00B512FE">
      <w:pPr>
        <w:spacing w:after="0"/>
        <w:rPr>
          <w:b/>
          <w:sz w:val="22"/>
          <w:lang w:val="en-US"/>
        </w:rPr>
      </w:pPr>
    </w:p>
    <w:p w:rsidR="003358C1" w:rsidRPr="00177373" w:rsidRDefault="003358C1" w:rsidP="00C14E07">
      <w:pPr>
        <w:ind w:left="1170" w:hanging="990"/>
        <w:jc w:val="both"/>
        <w:rPr>
          <w:b/>
          <w:sz w:val="22"/>
          <w:lang w:val="en-US"/>
        </w:rPr>
      </w:pPr>
    </w:p>
    <w:p w:rsidR="00906019" w:rsidRPr="00177373" w:rsidRDefault="00906019" w:rsidP="00C14E07">
      <w:pPr>
        <w:ind w:left="1170" w:hanging="990"/>
        <w:jc w:val="both"/>
        <w:rPr>
          <w:b/>
          <w:sz w:val="22"/>
          <w:lang w:val="en-US"/>
        </w:rPr>
      </w:pPr>
    </w:p>
    <w:p w:rsidR="00906019" w:rsidRPr="00177373" w:rsidRDefault="00906019" w:rsidP="00C14E07">
      <w:pPr>
        <w:ind w:left="1170" w:hanging="990"/>
        <w:jc w:val="both"/>
        <w:rPr>
          <w:b/>
          <w:sz w:val="22"/>
          <w:lang w:val="en-US"/>
        </w:rPr>
      </w:pPr>
    </w:p>
    <w:p w:rsidR="00906019" w:rsidRPr="00177373" w:rsidRDefault="00906019" w:rsidP="00C14E07">
      <w:pPr>
        <w:ind w:left="1170" w:hanging="990"/>
        <w:jc w:val="both"/>
        <w:rPr>
          <w:b/>
          <w:sz w:val="22"/>
          <w:lang w:val="en-US"/>
        </w:rPr>
      </w:pPr>
    </w:p>
    <w:p w:rsidR="00C521FB" w:rsidRPr="00177373" w:rsidRDefault="00C521FB" w:rsidP="00AE4DB1">
      <w:pPr>
        <w:spacing w:after="0"/>
        <w:rPr>
          <w:b/>
          <w:bCs/>
          <w:szCs w:val="24"/>
          <w:lang w:val="en-US"/>
        </w:rPr>
      </w:pPr>
    </w:p>
    <w:p w:rsidR="003F423B" w:rsidRDefault="003F423B" w:rsidP="00AE4DB1">
      <w:pPr>
        <w:spacing w:after="0"/>
        <w:rPr>
          <w:b/>
          <w:bCs/>
          <w:szCs w:val="24"/>
          <w:lang w:val="en-US"/>
        </w:rPr>
      </w:pPr>
    </w:p>
    <w:p w:rsidR="003F423B" w:rsidRDefault="003F423B" w:rsidP="00AE4DB1">
      <w:pPr>
        <w:spacing w:after="0"/>
        <w:rPr>
          <w:b/>
          <w:bCs/>
          <w:szCs w:val="24"/>
          <w:lang w:val="en-US"/>
        </w:rPr>
      </w:pPr>
    </w:p>
    <w:p w:rsidR="003F423B" w:rsidRDefault="003F423B" w:rsidP="00AE4DB1">
      <w:pPr>
        <w:spacing w:after="0"/>
        <w:rPr>
          <w:b/>
          <w:bCs/>
          <w:szCs w:val="24"/>
          <w:lang w:val="en-US"/>
        </w:rPr>
      </w:pPr>
    </w:p>
    <w:p w:rsidR="003F423B" w:rsidRDefault="003F423B" w:rsidP="00AE4DB1">
      <w:pPr>
        <w:spacing w:after="0"/>
        <w:rPr>
          <w:b/>
          <w:bCs/>
          <w:szCs w:val="24"/>
          <w:lang w:val="en-US"/>
        </w:rPr>
      </w:pPr>
    </w:p>
    <w:p w:rsidR="003F423B" w:rsidRPr="00177373" w:rsidRDefault="003F423B" w:rsidP="00AE4DB1">
      <w:pPr>
        <w:spacing w:after="0"/>
        <w:rPr>
          <w:b/>
          <w:bCs/>
          <w:szCs w:val="24"/>
          <w:lang w:val="en-US"/>
        </w:rPr>
      </w:pPr>
    </w:p>
    <w:p w:rsidR="008124AE" w:rsidRPr="003F423B" w:rsidRDefault="008124AE" w:rsidP="00AE4DB1">
      <w:pPr>
        <w:spacing w:after="0"/>
        <w:rPr>
          <w:bCs/>
          <w:sz w:val="22"/>
          <w:lang w:val="en-US"/>
        </w:rPr>
      </w:pPr>
      <w:r w:rsidRPr="003F423B">
        <w:rPr>
          <w:b/>
          <w:bCs/>
          <w:sz w:val="22"/>
          <w:lang w:val="en-US"/>
        </w:rPr>
        <w:lastRenderedPageBreak/>
        <w:t>Technological Structures</w:t>
      </w:r>
      <w:r w:rsidR="000B3198" w:rsidRPr="003F423B">
        <w:rPr>
          <w:bCs/>
          <w:sz w:val="22"/>
          <w:lang w:val="en-US"/>
        </w:rPr>
        <w:t xml:space="preserve"> </w:t>
      </w:r>
    </w:p>
    <w:p w:rsidR="00D920DC" w:rsidRPr="003F423B" w:rsidRDefault="008124AE" w:rsidP="003F423B">
      <w:pPr>
        <w:spacing w:after="240"/>
        <w:ind w:firstLine="708"/>
        <w:rPr>
          <w:bCs/>
          <w:sz w:val="22"/>
          <w:lang w:val="en-US"/>
        </w:rPr>
      </w:pPr>
      <w:r w:rsidRPr="003F423B">
        <w:rPr>
          <w:bCs/>
          <w:sz w:val="22"/>
          <w:lang w:val="en-US"/>
        </w:rPr>
        <w:t>Out of 12 projects</w:t>
      </w:r>
      <w:r w:rsidR="00D920DC" w:rsidRPr="003F423B">
        <w:rPr>
          <w:bCs/>
          <w:sz w:val="22"/>
          <w:lang w:val="en-US"/>
        </w:rPr>
        <w:t xml:space="preserve"> analyzed</w:t>
      </w:r>
      <w:r w:rsidRPr="003F423B">
        <w:rPr>
          <w:bCs/>
          <w:sz w:val="22"/>
          <w:lang w:val="en-US"/>
        </w:rPr>
        <w:t xml:space="preserve">, </w:t>
      </w:r>
      <w:r w:rsidR="00C521FB" w:rsidRPr="003F423B">
        <w:rPr>
          <w:bCs/>
          <w:sz w:val="22"/>
          <w:lang w:val="en-US"/>
        </w:rPr>
        <w:t xml:space="preserve">approximately </w:t>
      </w:r>
      <w:r w:rsidRPr="003F423B">
        <w:rPr>
          <w:bCs/>
          <w:sz w:val="22"/>
          <w:lang w:val="en-US"/>
        </w:rPr>
        <w:t xml:space="preserve">50% </w:t>
      </w:r>
      <w:r w:rsidR="00D920DC" w:rsidRPr="003F423B">
        <w:rPr>
          <w:bCs/>
          <w:sz w:val="22"/>
          <w:lang w:val="en-US"/>
        </w:rPr>
        <w:t>of them included</w:t>
      </w:r>
      <w:r w:rsidRPr="003F423B">
        <w:rPr>
          <w:bCs/>
          <w:sz w:val="22"/>
          <w:lang w:val="en-US"/>
        </w:rPr>
        <w:t xml:space="preserve"> an error leading to the failure to comply with the contract budget of the construction</w:t>
      </w:r>
      <w:r w:rsidR="00D920DC" w:rsidRPr="003F423B">
        <w:rPr>
          <w:bCs/>
          <w:sz w:val="22"/>
          <w:lang w:val="en-US"/>
        </w:rPr>
        <w:t xml:space="preserve">, </w:t>
      </w:r>
      <w:r w:rsidR="00C521FB" w:rsidRPr="003F423B">
        <w:rPr>
          <w:bCs/>
          <w:sz w:val="22"/>
          <w:lang w:val="en-US"/>
        </w:rPr>
        <w:t xml:space="preserve">as </w:t>
      </w:r>
      <w:r w:rsidR="00D920DC" w:rsidRPr="003F423B">
        <w:rPr>
          <w:bCs/>
          <w:sz w:val="22"/>
          <w:lang w:val="en-US"/>
        </w:rPr>
        <w:t xml:space="preserve">summarized in </w:t>
      </w:r>
      <w:r w:rsidRPr="003F423B">
        <w:rPr>
          <w:bCs/>
          <w:sz w:val="22"/>
          <w:lang w:val="en-US"/>
        </w:rPr>
        <w:t>Figure 3</w:t>
      </w:r>
      <w:r w:rsidR="00D920DC" w:rsidRPr="003F423B">
        <w:rPr>
          <w:bCs/>
          <w:sz w:val="22"/>
          <w:lang w:val="en-US"/>
        </w:rPr>
        <w:t>. F</w:t>
      </w:r>
      <w:r w:rsidRPr="003F423B">
        <w:rPr>
          <w:bCs/>
          <w:sz w:val="22"/>
          <w:lang w:val="en-US"/>
        </w:rPr>
        <w:t xml:space="preserve">ive projects out of ten </w:t>
      </w:r>
      <w:r w:rsidR="00D920DC" w:rsidRPr="003F423B">
        <w:rPr>
          <w:bCs/>
          <w:sz w:val="22"/>
          <w:lang w:val="en-US"/>
        </w:rPr>
        <w:t>failed</w:t>
      </w:r>
      <w:r w:rsidRPr="003F423B">
        <w:rPr>
          <w:bCs/>
          <w:sz w:val="22"/>
          <w:lang w:val="en-US"/>
        </w:rPr>
        <w:t xml:space="preserve"> to comply with the contract price</w:t>
      </w:r>
      <w:r w:rsidR="00D920DC" w:rsidRPr="003F423B">
        <w:rPr>
          <w:bCs/>
          <w:sz w:val="22"/>
          <w:lang w:val="en-US"/>
        </w:rPr>
        <w:t xml:space="preserve">. This category includes buildings such as ZEVO CHOTÍKOV waste incinerator near Pilsen city, construction of a steam-gas cycle in </w:t>
      </w:r>
      <w:proofErr w:type="spellStart"/>
      <w:r w:rsidR="00D920DC" w:rsidRPr="003F423B">
        <w:rPr>
          <w:bCs/>
          <w:sz w:val="22"/>
          <w:lang w:val="en-US"/>
        </w:rPr>
        <w:t>Počerady</w:t>
      </w:r>
      <w:proofErr w:type="spellEnd"/>
      <w:r w:rsidR="00D920DC" w:rsidRPr="003F423B">
        <w:rPr>
          <w:bCs/>
          <w:sz w:val="22"/>
          <w:lang w:val="en-US"/>
        </w:rPr>
        <w:t xml:space="preserve">, </w:t>
      </w:r>
      <w:r w:rsidR="002D732A" w:rsidRPr="003F423B">
        <w:rPr>
          <w:bCs/>
          <w:sz w:val="22"/>
          <w:lang w:val="en-US"/>
        </w:rPr>
        <w:t xml:space="preserve">wastewater treatment plant and </w:t>
      </w:r>
      <w:r w:rsidR="00D920DC" w:rsidRPr="003F423B">
        <w:rPr>
          <w:bCs/>
          <w:sz w:val="22"/>
          <w:lang w:val="en-US"/>
        </w:rPr>
        <w:t xml:space="preserve">completion of the water supply and sewerage system in </w:t>
      </w:r>
      <w:proofErr w:type="spellStart"/>
      <w:r w:rsidR="00D920DC" w:rsidRPr="003F423B">
        <w:rPr>
          <w:bCs/>
          <w:sz w:val="22"/>
          <w:lang w:val="en-US"/>
        </w:rPr>
        <w:t>Zdíkov</w:t>
      </w:r>
      <w:proofErr w:type="spellEnd"/>
      <w:r w:rsidR="00D920DC" w:rsidRPr="003F423B">
        <w:rPr>
          <w:bCs/>
          <w:sz w:val="22"/>
          <w:lang w:val="en-US"/>
        </w:rPr>
        <w:t>.</w:t>
      </w:r>
    </w:p>
    <w:p w:rsidR="003358C1" w:rsidRPr="003F423B" w:rsidRDefault="00D920DC" w:rsidP="00D920DC">
      <w:pPr>
        <w:spacing w:after="0"/>
        <w:rPr>
          <w:b/>
          <w:sz w:val="20"/>
          <w:szCs w:val="20"/>
          <w:lang w:val="en-US"/>
        </w:rPr>
      </w:pPr>
      <w:r w:rsidRPr="003F423B">
        <w:rPr>
          <w:b/>
          <w:sz w:val="20"/>
          <w:szCs w:val="20"/>
          <w:lang w:val="en-US"/>
        </w:rPr>
        <w:t xml:space="preserve">Figure </w:t>
      </w:r>
      <w:r w:rsidR="008124AE" w:rsidRPr="003F423B">
        <w:rPr>
          <w:b/>
          <w:sz w:val="20"/>
          <w:szCs w:val="20"/>
          <w:lang w:val="en-US"/>
        </w:rPr>
        <w:t xml:space="preserve">3 </w:t>
      </w:r>
      <w:r w:rsidRPr="003F423B">
        <w:rPr>
          <w:b/>
          <w:sz w:val="20"/>
          <w:szCs w:val="20"/>
          <w:lang w:val="en-US"/>
        </w:rPr>
        <w:t>–</w:t>
      </w:r>
      <w:r w:rsidR="008124AE" w:rsidRPr="003F423B">
        <w:rPr>
          <w:b/>
          <w:sz w:val="20"/>
          <w:szCs w:val="20"/>
          <w:lang w:val="en-US"/>
        </w:rPr>
        <w:t xml:space="preserve"> </w:t>
      </w:r>
      <w:r w:rsidRPr="003F423B">
        <w:rPr>
          <w:b/>
          <w:sz w:val="20"/>
          <w:szCs w:val="20"/>
          <w:lang w:val="en-US"/>
        </w:rPr>
        <w:t xml:space="preserve">The main reasons </w:t>
      </w:r>
      <w:r w:rsidR="008124AE" w:rsidRPr="003F423B">
        <w:rPr>
          <w:b/>
          <w:sz w:val="20"/>
          <w:szCs w:val="20"/>
          <w:lang w:val="en-US"/>
        </w:rPr>
        <w:t xml:space="preserve">of non-compliance with the contractual price for technological </w:t>
      </w:r>
      <w:r w:rsidRPr="003F423B">
        <w:rPr>
          <w:b/>
          <w:sz w:val="20"/>
          <w:szCs w:val="20"/>
          <w:lang w:val="en-US"/>
        </w:rPr>
        <w:t xml:space="preserve">structures.  </w:t>
      </w:r>
      <w:r w:rsidR="008124AE" w:rsidRPr="003F423B">
        <w:rPr>
          <w:b/>
          <w:sz w:val="20"/>
          <w:szCs w:val="20"/>
          <w:lang w:val="en-US"/>
        </w:rPr>
        <w:t>Source - own investigation</w:t>
      </w:r>
      <w:r w:rsidRPr="003F423B">
        <w:rPr>
          <w:b/>
          <w:sz w:val="20"/>
          <w:szCs w:val="20"/>
          <w:lang w:val="en-US"/>
        </w:rPr>
        <w:t xml:space="preserve">. </w:t>
      </w:r>
    </w:p>
    <w:p w:rsidR="003358C1" w:rsidRPr="00177373" w:rsidRDefault="00C67DE7" w:rsidP="00C14E07">
      <w:pPr>
        <w:ind w:left="1170" w:hanging="990"/>
        <w:jc w:val="both"/>
        <w:rPr>
          <w:szCs w:val="24"/>
          <w:lang w:val="en-US"/>
        </w:rPr>
      </w:pPr>
      <w:r w:rsidRPr="00177373">
        <w:rPr>
          <w:noProof/>
          <w:szCs w:val="24"/>
        </w:rPr>
        <w:drawing>
          <wp:anchor distT="0" distB="0" distL="114300" distR="114300" simplePos="0" relativeHeight="251720192" behindDoc="1" locked="0" layoutInCell="1" allowOverlap="1">
            <wp:simplePos x="0" y="0"/>
            <wp:positionH relativeFrom="margin">
              <wp:posOffset>1247140</wp:posOffset>
            </wp:positionH>
            <wp:positionV relativeFrom="paragraph">
              <wp:posOffset>29845</wp:posOffset>
            </wp:positionV>
            <wp:extent cx="3314700" cy="2051877"/>
            <wp:effectExtent l="0" t="0" r="0" b="571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4700" cy="2051877"/>
                    </a:xfrm>
                    <a:prstGeom prst="rect">
                      <a:avLst/>
                    </a:prstGeom>
                    <a:noFill/>
                  </pic:spPr>
                </pic:pic>
              </a:graphicData>
            </a:graphic>
            <wp14:sizeRelH relativeFrom="margin">
              <wp14:pctWidth>0</wp14:pctWidth>
            </wp14:sizeRelH>
            <wp14:sizeRelV relativeFrom="margin">
              <wp14:pctHeight>0</wp14:pctHeight>
            </wp14:sizeRelV>
          </wp:anchor>
        </w:drawing>
      </w:r>
    </w:p>
    <w:p w:rsidR="00551FC5" w:rsidRPr="00177373" w:rsidRDefault="00551FC5" w:rsidP="00C14E07">
      <w:pPr>
        <w:ind w:left="1170" w:hanging="990"/>
        <w:jc w:val="both"/>
        <w:rPr>
          <w:szCs w:val="24"/>
          <w:lang w:val="en-US"/>
        </w:rPr>
      </w:pPr>
    </w:p>
    <w:p w:rsidR="00906019" w:rsidRPr="00177373" w:rsidRDefault="00906019" w:rsidP="00C14E07">
      <w:pPr>
        <w:ind w:left="1170" w:hanging="990"/>
        <w:jc w:val="both"/>
        <w:rPr>
          <w:szCs w:val="24"/>
          <w:lang w:val="en-US"/>
        </w:rPr>
      </w:pPr>
    </w:p>
    <w:p w:rsidR="00906019" w:rsidRPr="00177373" w:rsidRDefault="00906019" w:rsidP="00C14E07">
      <w:pPr>
        <w:ind w:left="1170" w:hanging="990"/>
        <w:jc w:val="both"/>
        <w:rPr>
          <w:szCs w:val="24"/>
          <w:lang w:val="en-US"/>
        </w:rPr>
      </w:pPr>
    </w:p>
    <w:p w:rsidR="00E97F80" w:rsidRPr="00177373" w:rsidRDefault="00E97F80" w:rsidP="00E97F80">
      <w:pPr>
        <w:spacing w:after="0"/>
        <w:ind w:left="1170" w:hanging="990"/>
        <w:jc w:val="both"/>
        <w:rPr>
          <w:b/>
          <w:szCs w:val="24"/>
          <w:lang w:val="en-US"/>
        </w:rPr>
      </w:pPr>
    </w:p>
    <w:p w:rsidR="00E97F80" w:rsidRPr="00177373" w:rsidRDefault="00E97F80" w:rsidP="00B512FE">
      <w:pPr>
        <w:spacing w:after="240"/>
        <w:rPr>
          <w:bCs/>
          <w:szCs w:val="24"/>
          <w:lang w:val="en-US"/>
        </w:rPr>
      </w:pPr>
    </w:p>
    <w:p w:rsidR="00C67DE7" w:rsidRPr="00177373" w:rsidRDefault="00AE4DB1" w:rsidP="00B512FE">
      <w:pPr>
        <w:spacing w:after="240"/>
        <w:rPr>
          <w:bCs/>
          <w:szCs w:val="24"/>
          <w:lang w:val="en-US"/>
        </w:rPr>
      </w:pPr>
      <w:r w:rsidRPr="00177373">
        <w:rPr>
          <w:bCs/>
          <w:szCs w:val="24"/>
          <w:lang w:val="en-US"/>
        </w:rPr>
        <w:t xml:space="preserve">  </w:t>
      </w:r>
    </w:p>
    <w:p w:rsidR="00C67DE7" w:rsidRPr="003F423B" w:rsidRDefault="00C67DE7" w:rsidP="00AE4DB1">
      <w:pPr>
        <w:spacing w:after="0"/>
        <w:rPr>
          <w:bCs/>
          <w:color w:val="00B050"/>
          <w:sz w:val="22"/>
          <w:lang w:val="en-US"/>
        </w:rPr>
      </w:pPr>
      <w:r w:rsidRPr="003F423B">
        <w:rPr>
          <w:b/>
          <w:bCs/>
          <w:sz w:val="22"/>
          <w:lang w:val="en-US"/>
        </w:rPr>
        <w:t xml:space="preserve">Other </w:t>
      </w:r>
      <w:r w:rsidR="00C1731C" w:rsidRPr="003F423B">
        <w:rPr>
          <w:b/>
          <w:bCs/>
          <w:sz w:val="22"/>
          <w:lang w:val="en-US"/>
        </w:rPr>
        <w:t>ground</w:t>
      </w:r>
      <w:r w:rsidRPr="003F423B">
        <w:rPr>
          <w:b/>
          <w:bCs/>
          <w:sz w:val="22"/>
          <w:lang w:val="en-US"/>
        </w:rPr>
        <w:t xml:space="preserve"> </w:t>
      </w:r>
      <w:r w:rsidR="00C1731C" w:rsidRPr="003F423B">
        <w:rPr>
          <w:b/>
          <w:bCs/>
          <w:sz w:val="22"/>
          <w:lang w:val="en-US"/>
        </w:rPr>
        <w:t>s</w:t>
      </w:r>
      <w:r w:rsidRPr="003F423B">
        <w:rPr>
          <w:b/>
          <w:bCs/>
          <w:sz w:val="22"/>
          <w:lang w:val="en-US"/>
        </w:rPr>
        <w:t>tructures</w:t>
      </w:r>
      <w:r w:rsidR="00AE4DB1" w:rsidRPr="003F423B">
        <w:rPr>
          <w:bCs/>
          <w:color w:val="00B050"/>
          <w:sz w:val="22"/>
          <w:lang w:val="en-US"/>
        </w:rPr>
        <w:t xml:space="preserve">   </w:t>
      </w:r>
    </w:p>
    <w:p w:rsidR="00C1731C" w:rsidRPr="003F423B" w:rsidRDefault="00C67DE7" w:rsidP="00C521FB">
      <w:pPr>
        <w:spacing w:after="0"/>
        <w:jc w:val="both"/>
        <w:rPr>
          <w:bCs/>
          <w:sz w:val="22"/>
          <w:lang w:val="en-US"/>
        </w:rPr>
      </w:pPr>
      <w:r w:rsidRPr="003F423B">
        <w:rPr>
          <w:bCs/>
          <w:sz w:val="22"/>
          <w:lang w:val="en-US"/>
        </w:rPr>
        <w:t>Out of the 97 projects</w:t>
      </w:r>
      <w:r w:rsidR="00C1731C" w:rsidRPr="003F423B">
        <w:rPr>
          <w:bCs/>
          <w:sz w:val="22"/>
          <w:lang w:val="en-US"/>
        </w:rPr>
        <w:t xml:space="preserve"> analyzed</w:t>
      </w:r>
      <w:r w:rsidRPr="003F423B">
        <w:rPr>
          <w:bCs/>
          <w:sz w:val="22"/>
          <w:lang w:val="en-US"/>
        </w:rPr>
        <w:t xml:space="preserve">, </w:t>
      </w:r>
      <w:r w:rsidR="00C521FB" w:rsidRPr="003F423B">
        <w:rPr>
          <w:bCs/>
          <w:sz w:val="22"/>
          <w:lang w:val="en-US"/>
        </w:rPr>
        <w:t xml:space="preserve">about </w:t>
      </w:r>
      <w:r w:rsidRPr="003F423B">
        <w:rPr>
          <w:bCs/>
          <w:sz w:val="22"/>
          <w:lang w:val="en-US"/>
        </w:rPr>
        <w:t xml:space="preserve">65% </w:t>
      </w:r>
      <w:r w:rsidR="00C1731C" w:rsidRPr="003F423B">
        <w:rPr>
          <w:bCs/>
          <w:sz w:val="22"/>
          <w:lang w:val="en-US"/>
        </w:rPr>
        <w:t>included an</w:t>
      </w:r>
      <w:r w:rsidRPr="003F423B">
        <w:rPr>
          <w:bCs/>
          <w:sz w:val="22"/>
          <w:lang w:val="en-US"/>
        </w:rPr>
        <w:t xml:space="preserve"> error leading to a failure to comply with the contract budget</w:t>
      </w:r>
      <w:r w:rsidR="00C1731C" w:rsidRPr="003F423B">
        <w:rPr>
          <w:bCs/>
          <w:sz w:val="22"/>
          <w:lang w:val="en-US"/>
        </w:rPr>
        <w:t>;</w:t>
      </w:r>
      <w:r w:rsidRPr="003F423B">
        <w:rPr>
          <w:bCs/>
          <w:sz w:val="22"/>
          <w:lang w:val="en-US"/>
        </w:rPr>
        <w:t xml:space="preserve"> the main reasons are</w:t>
      </w:r>
      <w:r w:rsidR="00C1731C" w:rsidRPr="003F423B">
        <w:rPr>
          <w:bCs/>
          <w:sz w:val="22"/>
          <w:lang w:val="en-US"/>
        </w:rPr>
        <w:t xml:space="preserve"> summarized in Figure 4. Roughly six projects out of ten </w:t>
      </w:r>
      <w:r w:rsidR="00C521FB" w:rsidRPr="003F423B">
        <w:rPr>
          <w:bCs/>
          <w:sz w:val="22"/>
          <w:lang w:val="en-US"/>
        </w:rPr>
        <w:t>did</w:t>
      </w:r>
      <w:r w:rsidR="00C1731C" w:rsidRPr="003F423B">
        <w:rPr>
          <w:bCs/>
          <w:sz w:val="22"/>
          <w:lang w:val="en-US"/>
        </w:rPr>
        <w:t xml:space="preserve"> not comply</w:t>
      </w:r>
      <w:r w:rsidR="00C521FB" w:rsidRPr="003F423B">
        <w:rPr>
          <w:bCs/>
          <w:sz w:val="22"/>
          <w:lang w:val="en-US"/>
        </w:rPr>
        <w:t xml:space="preserve"> </w:t>
      </w:r>
      <w:r w:rsidR="00C1731C" w:rsidRPr="003F423B">
        <w:rPr>
          <w:bCs/>
          <w:sz w:val="22"/>
          <w:lang w:val="en-US"/>
        </w:rPr>
        <w:t xml:space="preserve">with the </w:t>
      </w:r>
      <w:r w:rsidR="00C521FB" w:rsidRPr="003F423B">
        <w:rPr>
          <w:bCs/>
          <w:sz w:val="22"/>
          <w:lang w:val="en-US"/>
        </w:rPr>
        <w:t xml:space="preserve">project </w:t>
      </w:r>
      <w:r w:rsidR="00C1731C" w:rsidRPr="003F423B">
        <w:rPr>
          <w:bCs/>
          <w:sz w:val="22"/>
          <w:lang w:val="en-US"/>
        </w:rPr>
        <w:t xml:space="preserve">contract price. Examples of buildings in the category are: reconstruction of the home for seniors in </w:t>
      </w:r>
      <w:proofErr w:type="spellStart"/>
      <w:r w:rsidR="00C1731C" w:rsidRPr="003F423B">
        <w:rPr>
          <w:bCs/>
          <w:sz w:val="22"/>
          <w:lang w:val="en-US"/>
        </w:rPr>
        <w:t>Děčín</w:t>
      </w:r>
      <w:proofErr w:type="spellEnd"/>
      <w:r w:rsidR="00C1731C" w:rsidRPr="003F423B">
        <w:rPr>
          <w:bCs/>
          <w:sz w:val="22"/>
          <w:lang w:val="en-US"/>
        </w:rPr>
        <w:t xml:space="preserve">, the judicial complex in Brno, construction of the </w:t>
      </w:r>
      <w:proofErr w:type="spellStart"/>
      <w:r w:rsidR="00C1731C" w:rsidRPr="003F423B">
        <w:rPr>
          <w:bCs/>
          <w:sz w:val="22"/>
          <w:lang w:val="en-US"/>
        </w:rPr>
        <w:t>Klatovy</w:t>
      </w:r>
      <w:proofErr w:type="spellEnd"/>
      <w:r w:rsidR="00C1731C" w:rsidRPr="003F423B">
        <w:rPr>
          <w:bCs/>
          <w:sz w:val="22"/>
          <w:lang w:val="en-US"/>
        </w:rPr>
        <w:t xml:space="preserve"> hospital, reconstruction of the historical monument of the Municipal Baths in Liberec.</w:t>
      </w:r>
    </w:p>
    <w:p w:rsidR="00C1731C" w:rsidRPr="00177373" w:rsidRDefault="00C1731C" w:rsidP="00C67DE7">
      <w:pPr>
        <w:spacing w:after="0"/>
        <w:rPr>
          <w:b/>
          <w:sz w:val="22"/>
          <w:szCs w:val="24"/>
          <w:lang w:val="en-US"/>
        </w:rPr>
      </w:pPr>
    </w:p>
    <w:p w:rsidR="00C063F7" w:rsidRPr="003F423B" w:rsidRDefault="00C1731C" w:rsidP="00C67DE7">
      <w:pPr>
        <w:spacing w:after="0"/>
        <w:rPr>
          <w:bCs/>
          <w:color w:val="00B050"/>
          <w:sz w:val="20"/>
          <w:szCs w:val="20"/>
          <w:lang w:val="en-US"/>
        </w:rPr>
      </w:pPr>
      <w:r w:rsidRPr="003F423B">
        <w:rPr>
          <w:b/>
          <w:sz w:val="20"/>
          <w:szCs w:val="20"/>
          <w:lang w:val="en-US"/>
        </w:rPr>
        <w:t xml:space="preserve">Figure </w:t>
      </w:r>
      <w:r w:rsidR="00C67DE7" w:rsidRPr="003F423B">
        <w:rPr>
          <w:b/>
          <w:sz w:val="20"/>
          <w:szCs w:val="20"/>
          <w:lang w:val="en-US"/>
        </w:rPr>
        <w:t xml:space="preserve">4 </w:t>
      </w:r>
      <w:r w:rsidRPr="003F423B">
        <w:rPr>
          <w:b/>
          <w:sz w:val="20"/>
          <w:szCs w:val="20"/>
          <w:lang w:val="en-US"/>
        </w:rPr>
        <w:t>–</w:t>
      </w:r>
      <w:r w:rsidR="00C67DE7" w:rsidRPr="003F423B">
        <w:rPr>
          <w:b/>
          <w:sz w:val="20"/>
          <w:szCs w:val="20"/>
          <w:lang w:val="en-US"/>
        </w:rPr>
        <w:t xml:space="preserve"> </w:t>
      </w:r>
      <w:r w:rsidRPr="003F423B">
        <w:rPr>
          <w:b/>
          <w:sz w:val="20"/>
          <w:szCs w:val="20"/>
          <w:lang w:val="en-US"/>
        </w:rPr>
        <w:t xml:space="preserve">The main reasons </w:t>
      </w:r>
      <w:r w:rsidR="00C67DE7" w:rsidRPr="003F423B">
        <w:rPr>
          <w:b/>
          <w:sz w:val="20"/>
          <w:szCs w:val="20"/>
          <w:lang w:val="en-US"/>
        </w:rPr>
        <w:t xml:space="preserve">of non-compliance with the contractual price of the budget for other </w:t>
      </w:r>
      <w:r w:rsidR="00184500" w:rsidRPr="003F423B">
        <w:rPr>
          <w:b/>
          <w:sz w:val="20"/>
          <w:szCs w:val="20"/>
          <w:lang w:val="en-US"/>
        </w:rPr>
        <w:t>ground structures</w:t>
      </w:r>
      <w:r w:rsidRPr="003F423B">
        <w:rPr>
          <w:b/>
          <w:sz w:val="20"/>
          <w:szCs w:val="20"/>
          <w:lang w:val="en-US"/>
        </w:rPr>
        <w:t xml:space="preserve">. </w:t>
      </w:r>
      <w:r w:rsidR="00C67DE7" w:rsidRPr="003F423B">
        <w:rPr>
          <w:b/>
          <w:sz w:val="20"/>
          <w:szCs w:val="20"/>
          <w:lang w:val="en-US"/>
        </w:rPr>
        <w:t>Source - own investigation</w:t>
      </w:r>
      <w:r w:rsidRPr="003F423B">
        <w:rPr>
          <w:b/>
          <w:sz w:val="20"/>
          <w:szCs w:val="20"/>
          <w:lang w:val="en-US"/>
        </w:rPr>
        <w:t xml:space="preserve">. </w:t>
      </w:r>
    </w:p>
    <w:p w:rsidR="000B3198" w:rsidRPr="00177373" w:rsidRDefault="00C67DE7" w:rsidP="000B3198">
      <w:pPr>
        <w:rPr>
          <w:b/>
          <w:noProof/>
          <w:color w:val="000000" w:themeColor="text1"/>
          <w:szCs w:val="24"/>
          <w:lang w:val="en-US"/>
        </w:rPr>
      </w:pPr>
      <w:r w:rsidRPr="00177373">
        <w:rPr>
          <w:b/>
          <w:noProof/>
          <w:color w:val="000000" w:themeColor="text1"/>
          <w:szCs w:val="24"/>
        </w:rPr>
        <w:drawing>
          <wp:anchor distT="0" distB="0" distL="114300" distR="114300" simplePos="0" relativeHeight="251721216" behindDoc="1" locked="0" layoutInCell="1" allowOverlap="1">
            <wp:simplePos x="0" y="0"/>
            <wp:positionH relativeFrom="margin">
              <wp:align>center</wp:align>
            </wp:positionH>
            <wp:positionV relativeFrom="paragraph">
              <wp:posOffset>6985</wp:posOffset>
            </wp:positionV>
            <wp:extent cx="3368675" cy="2070735"/>
            <wp:effectExtent l="0" t="0" r="3175" b="571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8675" cy="2070735"/>
                    </a:xfrm>
                    <a:prstGeom prst="rect">
                      <a:avLst/>
                    </a:prstGeom>
                    <a:noFill/>
                  </pic:spPr>
                </pic:pic>
              </a:graphicData>
            </a:graphic>
            <wp14:sizeRelH relativeFrom="margin">
              <wp14:pctWidth>0</wp14:pctWidth>
            </wp14:sizeRelH>
            <wp14:sizeRelV relativeFrom="margin">
              <wp14:pctHeight>0</wp14:pctHeight>
            </wp14:sizeRelV>
          </wp:anchor>
        </w:drawing>
      </w:r>
    </w:p>
    <w:p w:rsidR="00906019" w:rsidRPr="00177373" w:rsidRDefault="00906019" w:rsidP="00C14E07">
      <w:pPr>
        <w:ind w:left="1170" w:hanging="990"/>
        <w:jc w:val="both"/>
        <w:rPr>
          <w:szCs w:val="24"/>
          <w:lang w:val="en-US"/>
        </w:rPr>
      </w:pPr>
    </w:p>
    <w:p w:rsidR="00906019" w:rsidRPr="00177373" w:rsidRDefault="00906019" w:rsidP="00C14E07">
      <w:pPr>
        <w:ind w:left="1170" w:hanging="990"/>
        <w:jc w:val="both"/>
        <w:rPr>
          <w:szCs w:val="24"/>
          <w:lang w:val="en-US"/>
        </w:rPr>
      </w:pPr>
    </w:p>
    <w:p w:rsidR="005D671A" w:rsidRPr="00177373" w:rsidRDefault="005D671A" w:rsidP="00C14E07">
      <w:pPr>
        <w:ind w:left="1170" w:hanging="990"/>
        <w:jc w:val="both"/>
        <w:rPr>
          <w:szCs w:val="24"/>
          <w:lang w:val="en-US"/>
        </w:rPr>
      </w:pPr>
    </w:p>
    <w:p w:rsidR="005D671A" w:rsidRPr="00177373" w:rsidRDefault="005D671A" w:rsidP="00C14E07">
      <w:pPr>
        <w:ind w:left="1170" w:hanging="990"/>
        <w:jc w:val="both"/>
        <w:rPr>
          <w:szCs w:val="24"/>
          <w:lang w:val="en-US"/>
        </w:rPr>
      </w:pPr>
    </w:p>
    <w:p w:rsidR="00E97F80" w:rsidRPr="00177373" w:rsidRDefault="00E97F80" w:rsidP="00E97F80">
      <w:pPr>
        <w:spacing w:after="0"/>
        <w:ind w:left="1170" w:hanging="990"/>
        <w:jc w:val="both"/>
        <w:rPr>
          <w:b/>
          <w:szCs w:val="24"/>
          <w:lang w:val="en-US"/>
        </w:rPr>
      </w:pPr>
    </w:p>
    <w:p w:rsidR="00C67DE7" w:rsidRPr="00177373" w:rsidRDefault="00C67DE7" w:rsidP="00E97F80">
      <w:pPr>
        <w:spacing w:after="0"/>
        <w:ind w:left="1170" w:hanging="990"/>
        <w:jc w:val="both"/>
        <w:rPr>
          <w:b/>
          <w:szCs w:val="24"/>
          <w:lang w:val="en-US"/>
        </w:rPr>
      </w:pPr>
    </w:p>
    <w:p w:rsidR="00C67DE7" w:rsidRPr="00177373" w:rsidRDefault="00C67DE7" w:rsidP="00C67DE7">
      <w:pPr>
        <w:spacing w:after="0"/>
        <w:rPr>
          <w:bCs/>
          <w:szCs w:val="24"/>
          <w:lang w:val="en-US"/>
        </w:rPr>
      </w:pPr>
    </w:p>
    <w:p w:rsidR="00C67DE7" w:rsidRPr="003F423B" w:rsidRDefault="00C67DE7" w:rsidP="00C67DE7">
      <w:pPr>
        <w:pStyle w:val="CM-referencesheading"/>
        <w:spacing w:before="0"/>
        <w:rPr>
          <w:lang w:eastAsia="en-US"/>
        </w:rPr>
      </w:pPr>
      <w:r w:rsidRPr="003F423B">
        <w:rPr>
          <w:lang w:eastAsia="en-US"/>
        </w:rPr>
        <w:lastRenderedPageBreak/>
        <w:t>Conclusion and discussion</w:t>
      </w:r>
    </w:p>
    <w:p w:rsidR="00C521FB" w:rsidRPr="003F423B" w:rsidRDefault="00C67DE7" w:rsidP="003F423B">
      <w:pPr>
        <w:spacing w:after="0"/>
        <w:ind w:firstLine="708"/>
        <w:jc w:val="both"/>
        <w:rPr>
          <w:bCs/>
          <w:sz w:val="22"/>
          <w:lang w:val="en-US"/>
        </w:rPr>
      </w:pPr>
      <w:r w:rsidRPr="003F423B">
        <w:rPr>
          <w:sz w:val="22"/>
          <w:lang w:val="en-US"/>
        </w:rPr>
        <w:t xml:space="preserve">The </w:t>
      </w:r>
      <w:r w:rsidR="006E6119" w:rsidRPr="003F423B">
        <w:rPr>
          <w:sz w:val="22"/>
          <w:lang w:val="en-US"/>
        </w:rPr>
        <w:t>paper</w:t>
      </w:r>
      <w:r w:rsidRPr="003F423B">
        <w:rPr>
          <w:sz w:val="22"/>
          <w:lang w:val="en-US"/>
        </w:rPr>
        <w:t xml:space="preserve"> investigated </w:t>
      </w:r>
      <w:r w:rsidR="006E6119" w:rsidRPr="003F423B">
        <w:rPr>
          <w:sz w:val="22"/>
          <w:lang w:val="en-US"/>
        </w:rPr>
        <w:t xml:space="preserve">194 public construction projects, </w:t>
      </w:r>
      <w:r w:rsidRPr="003F423B">
        <w:rPr>
          <w:sz w:val="22"/>
          <w:lang w:val="en-US"/>
        </w:rPr>
        <w:t>executed between 2008 and 2018</w:t>
      </w:r>
      <w:r w:rsidR="006E6119" w:rsidRPr="003F423B">
        <w:rPr>
          <w:sz w:val="22"/>
          <w:lang w:val="en-US"/>
        </w:rPr>
        <w:t xml:space="preserve"> in the Czech Republic</w:t>
      </w:r>
      <w:r w:rsidRPr="003F423B">
        <w:rPr>
          <w:sz w:val="22"/>
          <w:lang w:val="en-US"/>
        </w:rPr>
        <w:t xml:space="preserve">. Samples of the buildings were divided into four categories - according to their purpose, </w:t>
      </w:r>
      <w:r w:rsidR="00C521FB" w:rsidRPr="003F423B">
        <w:rPr>
          <w:bCs/>
          <w:sz w:val="22"/>
          <w:lang w:val="en-US"/>
        </w:rPr>
        <w:t xml:space="preserve">architectural similarity and building technology. </w:t>
      </w:r>
    </w:p>
    <w:p w:rsidR="00E6617A" w:rsidRPr="003F423B" w:rsidRDefault="00C521FB" w:rsidP="009A7E9A">
      <w:pPr>
        <w:spacing w:after="0"/>
        <w:jc w:val="both"/>
        <w:rPr>
          <w:noProof/>
          <w:sz w:val="22"/>
          <w:lang w:val="en-US"/>
        </w:rPr>
      </w:pPr>
      <w:r w:rsidRPr="003F423B">
        <w:rPr>
          <w:noProof/>
          <w:sz w:val="22"/>
          <w:lang w:val="en-US"/>
        </w:rPr>
        <w:t>The most frequent project budget overrun was observed in the category of</w:t>
      </w:r>
      <w:r w:rsidR="00C67DE7" w:rsidRPr="003F423B">
        <w:rPr>
          <w:noProof/>
          <w:sz w:val="22"/>
          <w:lang w:val="en-US"/>
        </w:rPr>
        <w:t xml:space="preserve"> </w:t>
      </w:r>
      <w:r w:rsidRPr="003F423B">
        <w:rPr>
          <w:noProof/>
          <w:sz w:val="22"/>
          <w:lang w:val="en-US"/>
        </w:rPr>
        <w:t xml:space="preserve">transport structures, where seven buildings out of ten were overpriced. By contrast, in the category of water management structures </w:t>
      </w:r>
      <w:r w:rsidR="00C67DE7" w:rsidRPr="003F423B">
        <w:rPr>
          <w:noProof/>
          <w:sz w:val="22"/>
          <w:lang w:val="en-US"/>
        </w:rPr>
        <w:t xml:space="preserve">the rise in </w:t>
      </w:r>
      <w:r w:rsidRPr="003F423B">
        <w:rPr>
          <w:noProof/>
          <w:sz w:val="22"/>
          <w:lang w:val="en-US"/>
        </w:rPr>
        <w:t xml:space="preserve">budget was observed in “only” four buildings out of ten. </w:t>
      </w:r>
      <w:r w:rsidR="00E6617A" w:rsidRPr="003F423B">
        <w:rPr>
          <w:noProof/>
          <w:sz w:val="22"/>
          <w:lang w:val="en-US"/>
        </w:rPr>
        <w:t xml:space="preserve">Moreover, five technological structures out of ten and six other ground structures out of ten were found to be overpriced. </w:t>
      </w:r>
    </w:p>
    <w:p w:rsidR="00BD5498" w:rsidRPr="003F423B" w:rsidRDefault="00E6617A" w:rsidP="003F423B">
      <w:pPr>
        <w:spacing w:after="0"/>
        <w:ind w:firstLine="708"/>
        <w:jc w:val="both"/>
        <w:rPr>
          <w:sz w:val="22"/>
          <w:lang w:val="en-US"/>
        </w:rPr>
      </w:pPr>
      <w:r w:rsidRPr="003F423B">
        <w:rPr>
          <w:noProof/>
          <w:sz w:val="22"/>
          <w:lang w:val="en-US"/>
        </w:rPr>
        <w:t>T</w:t>
      </w:r>
      <w:r w:rsidR="00BD5498" w:rsidRPr="003F423B">
        <w:rPr>
          <w:noProof/>
          <w:sz w:val="22"/>
          <w:lang w:val="en-US"/>
        </w:rPr>
        <w:t xml:space="preserve">he main reasons for non-compliance with building budgets </w:t>
      </w:r>
      <w:r w:rsidRPr="003F423B">
        <w:rPr>
          <w:noProof/>
          <w:sz w:val="22"/>
          <w:lang w:val="en-US"/>
        </w:rPr>
        <w:t>were mostly the</w:t>
      </w:r>
      <w:r w:rsidR="00BD5498" w:rsidRPr="003F423B">
        <w:rPr>
          <w:noProof/>
          <w:sz w:val="22"/>
          <w:lang w:val="en-US"/>
        </w:rPr>
        <w:t xml:space="preserve"> extra work</w:t>
      </w:r>
      <w:r w:rsidRPr="003F423B">
        <w:rPr>
          <w:noProof/>
          <w:sz w:val="22"/>
          <w:lang w:val="en-US"/>
        </w:rPr>
        <w:t>s</w:t>
      </w:r>
      <w:r w:rsidR="00BD5498" w:rsidRPr="003F423B">
        <w:rPr>
          <w:noProof/>
          <w:sz w:val="22"/>
          <w:lang w:val="en-US"/>
        </w:rPr>
        <w:t xml:space="preserve">, errors in the project documentation of buildings, </w:t>
      </w:r>
      <w:r w:rsidRPr="003F423B">
        <w:rPr>
          <w:noProof/>
          <w:sz w:val="22"/>
          <w:lang w:val="en-US"/>
        </w:rPr>
        <w:t xml:space="preserve">an </w:t>
      </w:r>
      <w:r w:rsidR="00BD5498" w:rsidRPr="003F423B">
        <w:rPr>
          <w:noProof/>
          <w:sz w:val="22"/>
          <w:lang w:val="en-US"/>
        </w:rPr>
        <w:t>inadequate geological survey</w:t>
      </w:r>
      <w:r w:rsidRPr="003F423B">
        <w:rPr>
          <w:noProof/>
          <w:sz w:val="22"/>
          <w:lang w:val="en-US"/>
        </w:rPr>
        <w:t xml:space="preserve"> or an </w:t>
      </w:r>
      <w:r w:rsidR="00BD5498" w:rsidRPr="003F423B">
        <w:rPr>
          <w:noProof/>
          <w:sz w:val="22"/>
          <w:lang w:val="en-US"/>
        </w:rPr>
        <w:t xml:space="preserve">archaeological exploration, </w:t>
      </w:r>
      <w:r w:rsidRPr="003F423B">
        <w:rPr>
          <w:noProof/>
          <w:sz w:val="22"/>
          <w:lang w:val="en-US"/>
        </w:rPr>
        <w:t xml:space="preserve">and also </w:t>
      </w:r>
      <w:r w:rsidR="00BD5498" w:rsidRPr="003F423B">
        <w:rPr>
          <w:noProof/>
          <w:sz w:val="22"/>
          <w:lang w:val="en-US"/>
        </w:rPr>
        <w:t>non-compliance with construction technology, budget errors</w:t>
      </w:r>
      <w:r w:rsidRPr="003F423B">
        <w:rPr>
          <w:noProof/>
          <w:sz w:val="22"/>
          <w:lang w:val="en-US"/>
        </w:rPr>
        <w:t xml:space="preserve"> and </w:t>
      </w:r>
      <w:r w:rsidR="00BD5498" w:rsidRPr="003F423B">
        <w:rPr>
          <w:noProof/>
          <w:sz w:val="22"/>
          <w:lang w:val="en-US"/>
        </w:rPr>
        <w:t>complications with installed building technology.</w:t>
      </w:r>
      <w:r w:rsidR="009A7E9A" w:rsidRPr="003F423B">
        <w:rPr>
          <w:noProof/>
          <w:sz w:val="22"/>
          <w:lang w:val="en-US"/>
        </w:rPr>
        <w:t xml:space="preserve"> </w:t>
      </w:r>
      <w:r w:rsidR="00BD5498" w:rsidRPr="003F423B">
        <w:rPr>
          <w:bCs/>
          <w:sz w:val="22"/>
          <w:lang w:val="en-US"/>
        </w:rPr>
        <w:t xml:space="preserve">Other reasons for budget </w:t>
      </w:r>
      <w:r w:rsidRPr="003F423B">
        <w:rPr>
          <w:bCs/>
          <w:sz w:val="22"/>
          <w:lang w:val="en-US"/>
        </w:rPr>
        <w:t>overrun</w:t>
      </w:r>
      <w:r w:rsidR="00BD5498" w:rsidRPr="003F423B">
        <w:rPr>
          <w:bCs/>
          <w:sz w:val="22"/>
          <w:lang w:val="en-US"/>
        </w:rPr>
        <w:t xml:space="preserve"> include</w:t>
      </w:r>
      <w:r w:rsidRPr="003F423B">
        <w:rPr>
          <w:bCs/>
          <w:sz w:val="22"/>
          <w:lang w:val="en-US"/>
        </w:rPr>
        <w:t>d</w:t>
      </w:r>
      <w:r w:rsidR="00BD5498" w:rsidRPr="003F423B">
        <w:rPr>
          <w:bCs/>
          <w:sz w:val="22"/>
          <w:lang w:val="en-US"/>
        </w:rPr>
        <w:t xml:space="preserve">, for example, climate impacts (floods, frosts), unclear landowners (not explicitly identified), failure to observe the terms of subcontractors, subcontractors' insolvency, civil and </w:t>
      </w:r>
      <w:r w:rsidR="00BD5498" w:rsidRPr="003F423B">
        <w:rPr>
          <w:bCs/>
          <w:noProof/>
          <w:sz w:val="22"/>
          <w:lang w:val="en-US"/>
        </w:rPr>
        <w:t>environmental activist</w:t>
      </w:r>
      <w:r w:rsidR="009A7E9A" w:rsidRPr="003F423B">
        <w:rPr>
          <w:bCs/>
          <w:noProof/>
          <w:sz w:val="22"/>
          <w:lang w:val="en-US"/>
        </w:rPr>
        <w:t>ic</w:t>
      </w:r>
      <w:r w:rsidR="00BD5498" w:rsidRPr="003F423B">
        <w:rPr>
          <w:bCs/>
          <w:sz w:val="22"/>
          <w:lang w:val="en-US"/>
        </w:rPr>
        <w:t xml:space="preserve"> organizations, absence of competitive environment for specific construction works, and legislation - value added tax, litigation.</w:t>
      </w:r>
      <w:r w:rsidR="00856ED5" w:rsidRPr="003F423B">
        <w:rPr>
          <w:sz w:val="22"/>
          <w:lang w:val="en-US"/>
        </w:rPr>
        <w:t xml:space="preserve">   </w:t>
      </w:r>
    </w:p>
    <w:p w:rsidR="00456448" w:rsidRPr="003F423B" w:rsidRDefault="00446CF6" w:rsidP="003F423B">
      <w:pPr>
        <w:spacing w:after="0"/>
        <w:ind w:firstLine="708"/>
        <w:jc w:val="both"/>
        <w:rPr>
          <w:sz w:val="22"/>
          <w:lang w:val="en-US"/>
        </w:rPr>
      </w:pPr>
      <w:r w:rsidRPr="003F423B">
        <w:rPr>
          <w:sz w:val="22"/>
          <w:lang w:val="en-US"/>
        </w:rPr>
        <w:t xml:space="preserve">The identified reasons for budget failure in the analysis are consistent with those identified for foreign projects, as Prof. B. </w:t>
      </w:r>
      <w:proofErr w:type="spellStart"/>
      <w:r w:rsidRPr="003F423B">
        <w:rPr>
          <w:sz w:val="22"/>
          <w:lang w:val="en-US"/>
        </w:rPr>
        <w:t>Flyvbjerg</w:t>
      </w:r>
      <w:proofErr w:type="spellEnd"/>
      <w:r w:rsidRPr="003F423B">
        <w:rPr>
          <w:sz w:val="22"/>
          <w:lang w:val="en-US"/>
        </w:rPr>
        <w:t xml:space="preserve"> [</w:t>
      </w:r>
      <w:r w:rsidR="001924DF" w:rsidRPr="003F423B">
        <w:rPr>
          <w:sz w:val="22"/>
          <w:lang w:val="en-US"/>
        </w:rPr>
        <w:t>4</w:t>
      </w:r>
      <w:r w:rsidRPr="003F423B">
        <w:rPr>
          <w:sz w:val="22"/>
          <w:lang w:val="en-US"/>
        </w:rPr>
        <w:t xml:space="preserve">] and Czech investigator Ing. </w:t>
      </w:r>
      <w:proofErr w:type="spellStart"/>
      <w:r w:rsidRPr="003F423B">
        <w:rPr>
          <w:sz w:val="22"/>
          <w:lang w:val="en-US"/>
        </w:rPr>
        <w:t>Mirek</w:t>
      </w:r>
      <w:proofErr w:type="spellEnd"/>
      <w:r w:rsidRPr="003F423B">
        <w:rPr>
          <w:sz w:val="22"/>
          <w:lang w:val="en-US"/>
        </w:rPr>
        <w:t xml:space="preserve"> </w:t>
      </w:r>
      <w:proofErr w:type="spellStart"/>
      <w:r w:rsidRPr="003F423B">
        <w:rPr>
          <w:sz w:val="22"/>
          <w:lang w:val="en-US"/>
        </w:rPr>
        <w:t>Sponer</w:t>
      </w:r>
      <w:proofErr w:type="spellEnd"/>
      <w:r w:rsidRPr="003F423B">
        <w:rPr>
          <w:sz w:val="22"/>
          <w:lang w:val="en-US"/>
        </w:rPr>
        <w:t xml:space="preserve"> [2], who works at the Masaryk University in Brno at the Department of Finance proposed, e.g. exaggerated ambitions of politicians, interests of lobbyists, failure of the investor to plan and inspect the contractors during construction, the method of awarding the tender (applies to the Czech Republic), and lack </w:t>
      </w:r>
      <w:r w:rsidRPr="003F423B">
        <w:rPr>
          <w:noProof/>
          <w:sz w:val="22"/>
          <w:lang w:val="en-US"/>
        </w:rPr>
        <w:t>of invoved</w:t>
      </w:r>
      <w:r w:rsidRPr="003F423B">
        <w:rPr>
          <w:sz w:val="22"/>
          <w:lang w:val="en-US"/>
        </w:rPr>
        <w:t xml:space="preserve"> experts on the part of the investor. However, these reasons are objectively problematic to prove.</w:t>
      </w:r>
    </w:p>
    <w:p w:rsidR="00666FE5" w:rsidRPr="003F423B" w:rsidRDefault="00BD5498" w:rsidP="003F423B">
      <w:pPr>
        <w:spacing w:after="0"/>
        <w:ind w:firstLine="708"/>
        <w:jc w:val="both"/>
        <w:rPr>
          <w:sz w:val="22"/>
          <w:lang w:val="en-US"/>
        </w:rPr>
      </w:pPr>
      <w:r w:rsidRPr="003F423B">
        <w:rPr>
          <w:sz w:val="22"/>
          <w:lang w:val="en-US"/>
        </w:rPr>
        <w:t>The analysis shows that for each selected category of construction the reasons for non-compliance with the contractual budget may be different. For this purpose, it is necessary to assign the project to the</w:t>
      </w:r>
      <w:r w:rsidR="00177373" w:rsidRPr="003F423B">
        <w:rPr>
          <w:sz w:val="22"/>
          <w:lang w:val="en-US"/>
        </w:rPr>
        <w:t xml:space="preserve"> proper </w:t>
      </w:r>
      <w:r w:rsidRPr="003F423B">
        <w:rPr>
          <w:sz w:val="22"/>
          <w:lang w:val="en-US"/>
        </w:rPr>
        <w:t>category</w:t>
      </w:r>
      <w:r w:rsidR="00177373" w:rsidRPr="003F423B">
        <w:rPr>
          <w:sz w:val="22"/>
          <w:lang w:val="en-US"/>
        </w:rPr>
        <w:t>, before starting an analysis of project cost and schedule overruns and comparison of projects with each other</w:t>
      </w:r>
      <w:r w:rsidRPr="003F423B">
        <w:rPr>
          <w:sz w:val="22"/>
          <w:lang w:val="en-US"/>
        </w:rPr>
        <w:t xml:space="preserve">. </w:t>
      </w:r>
      <w:r w:rsidR="00177373" w:rsidRPr="003F423B">
        <w:rPr>
          <w:sz w:val="22"/>
          <w:lang w:val="en-US"/>
        </w:rPr>
        <w:t xml:space="preserve">The categorization of currently existing public projects can help to identify the main risk factors that could cause mistakes in planning and execution of a project in a selected category, and thus </w:t>
      </w:r>
      <w:r w:rsidR="00666FE5" w:rsidRPr="003F423B">
        <w:rPr>
          <w:sz w:val="22"/>
          <w:lang w:val="en-US"/>
        </w:rPr>
        <w:t>include precautions</w:t>
      </w:r>
      <w:r w:rsidRPr="003F423B">
        <w:rPr>
          <w:sz w:val="22"/>
          <w:lang w:val="en-US"/>
        </w:rPr>
        <w:t xml:space="preserve"> to minimize them. </w:t>
      </w:r>
      <w:r w:rsidR="00666FE5" w:rsidRPr="003F423B">
        <w:rPr>
          <w:sz w:val="22"/>
          <w:lang w:val="en-US"/>
        </w:rPr>
        <w:t xml:space="preserve">The very important actions, necessary for success of the project are especially well-prepared project documentation, proper and detailed geological exploration and the use of appropriate materials during construction of an object. </w:t>
      </w:r>
      <w:r w:rsidRPr="003F423B">
        <w:rPr>
          <w:sz w:val="22"/>
          <w:lang w:val="en-US"/>
        </w:rPr>
        <w:t xml:space="preserve">On the other hand, </w:t>
      </w:r>
      <w:r w:rsidR="00666FE5" w:rsidRPr="003F423B">
        <w:rPr>
          <w:sz w:val="22"/>
          <w:lang w:val="en-US"/>
        </w:rPr>
        <w:t xml:space="preserve">a lack of qualified experts who are able and willing to participate in the project, may represent a major issue that slows down the whole project. </w:t>
      </w:r>
    </w:p>
    <w:p w:rsidR="00666FE5" w:rsidRPr="003F423B" w:rsidRDefault="00666FE5" w:rsidP="003F423B">
      <w:pPr>
        <w:spacing w:after="0"/>
        <w:ind w:firstLine="708"/>
        <w:jc w:val="both"/>
        <w:rPr>
          <w:sz w:val="22"/>
          <w:lang w:val="en-US"/>
        </w:rPr>
      </w:pPr>
      <w:r w:rsidRPr="003F423B">
        <w:rPr>
          <w:sz w:val="22"/>
          <w:lang w:val="en-US"/>
        </w:rPr>
        <w:t xml:space="preserve">The paper presented a summary of the main reasons of project cost overrun within four categories of buildings, constructed in the Czech Republic, and paid from state funds. </w:t>
      </w:r>
    </w:p>
    <w:p w:rsidR="00BD5498" w:rsidRPr="00177373" w:rsidRDefault="00BD5498" w:rsidP="00BD5498">
      <w:pPr>
        <w:spacing w:before="240" w:after="120"/>
        <w:rPr>
          <w:b/>
          <w:noProof/>
          <w:sz w:val="32"/>
          <w:szCs w:val="32"/>
          <w:lang w:val="en-US"/>
        </w:rPr>
      </w:pPr>
      <w:r w:rsidRPr="00177373">
        <w:rPr>
          <w:b/>
          <w:noProof/>
          <w:sz w:val="32"/>
          <w:szCs w:val="32"/>
          <w:lang w:val="en-US"/>
        </w:rPr>
        <w:t>References</w:t>
      </w:r>
    </w:p>
    <w:p w:rsidR="006620DF" w:rsidRPr="003F423B" w:rsidRDefault="003F423B" w:rsidP="003F423B">
      <w:pPr>
        <w:spacing w:after="0"/>
        <w:ind w:left="705" w:hanging="705"/>
        <w:rPr>
          <w:noProof/>
          <w:sz w:val="20"/>
          <w:szCs w:val="20"/>
          <w:lang w:val="en-US"/>
        </w:rPr>
      </w:pPr>
      <w:r>
        <w:rPr>
          <w:noProof/>
          <w:sz w:val="20"/>
          <w:szCs w:val="20"/>
          <w:lang w:val="en-US"/>
        </w:rPr>
        <w:t>[1]</w:t>
      </w:r>
      <w:r>
        <w:rPr>
          <w:noProof/>
          <w:sz w:val="20"/>
          <w:szCs w:val="20"/>
          <w:lang w:val="en-US"/>
        </w:rPr>
        <w:tab/>
      </w:r>
      <w:r>
        <w:rPr>
          <w:noProof/>
          <w:sz w:val="20"/>
          <w:szCs w:val="20"/>
          <w:lang w:val="en-US"/>
        </w:rPr>
        <w:tab/>
      </w:r>
      <w:r w:rsidR="009811D9" w:rsidRPr="003F423B">
        <w:rPr>
          <w:noProof/>
          <w:sz w:val="20"/>
          <w:szCs w:val="20"/>
          <w:lang w:val="en-US"/>
        </w:rPr>
        <w:t>HROMADKA, V.</w:t>
      </w:r>
      <w:r w:rsidR="00782889" w:rsidRPr="003F423B">
        <w:rPr>
          <w:noProof/>
          <w:sz w:val="20"/>
          <w:szCs w:val="20"/>
          <w:lang w:val="en-US"/>
        </w:rPr>
        <w:t xml:space="preserve"> et al.</w:t>
      </w:r>
      <w:r w:rsidR="009811D9" w:rsidRPr="003F423B">
        <w:rPr>
          <w:noProof/>
          <w:sz w:val="20"/>
          <w:szCs w:val="20"/>
          <w:lang w:val="en-US"/>
        </w:rPr>
        <w:t xml:space="preserve"> </w:t>
      </w:r>
      <w:r w:rsidR="00675BA3" w:rsidRPr="003F423B">
        <w:rPr>
          <w:noProof/>
          <w:sz w:val="20"/>
          <w:szCs w:val="20"/>
          <w:lang w:val="en-US"/>
        </w:rPr>
        <w:t xml:space="preserve">The efficiency and risks of megaprojects in the Czech Republic. </w:t>
      </w:r>
      <w:r w:rsidR="00FC09A8" w:rsidRPr="003F423B">
        <w:rPr>
          <w:noProof/>
          <w:sz w:val="20"/>
          <w:szCs w:val="20"/>
          <w:lang w:val="en-US"/>
        </w:rPr>
        <w:t xml:space="preserve">Advances in Civil Engineering and Building Materials IV, </w:t>
      </w:r>
      <w:r w:rsidR="008F220A" w:rsidRPr="003F423B">
        <w:rPr>
          <w:noProof/>
          <w:sz w:val="20"/>
          <w:szCs w:val="20"/>
          <w:lang w:val="en-US"/>
        </w:rPr>
        <w:t xml:space="preserve">2015, </w:t>
      </w:r>
      <w:r w:rsidR="00DD7D12" w:rsidRPr="003F423B">
        <w:rPr>
          <w:noProof/>
          <w:sz w:val="20"/>
          <w:szCs w:val="20"/>
          <w:lang w:val="en-US"/>
        </w:rPr>
        <w:t xml:space="preserve">pp. 237 – 240, </w:t>
      </w:r>
      <w:r w:rsidR="00FB4E3F" w:rsidRPr="003F423B">
        <w:rPr>
          <w:noProof/>
          <w:sz w:val="20"/>
          <w:szCs w:val="20"/>
          <w:lang w:val="en-US"/>
        </w:rPr>
        <w:t>DOI: 10.1201/b18415-53</w:t>
      </w:r>
    </w:p>
    <w:p w:rsidR="008240CB" w:rsidRPr="003F423B" w:rsidRDefault="003F423B" w:rsidP="003F423B">
      <w:pPr>
        <w:spacing w:after="0"/>
        <w:ind w:left="705" w:hanging="705"/>
        <w:rPr>
          <w:noProof/>
          <w:sz w:val="20"/>
          <w:szCs w:val="20"/>
          <w:lang w:val="en-US"/>
        </w:rPr>
      </w:pPr>
      <w:r>
        <w:rPr>
          <w:noProof/>
          <w:sz w:val="20"/>
          <w:szCs w:val="20"/>
          <w:lang w:val="en-US"/>
        </w:rPr>
        <w:t>[2]</w:t>
      </w:r>
      <w:r>
        <w:rPr>
          <w:noProof/>
          <w:sz w:val="20"/>
          <w:szCs w:val="20"/>
          <w:lang w:val="en-US"/>
        </w:rPr>
        <w:tab/>
      </w:r>
      <w:r>
        <w:rPr>
          <w:noProof/>
          <w:sz w:val="20"/>
          <w:szCs w:val="20"/>
          <w:lang w:val="en-US"/>
        </w:rPr>
        <w:tab/>
      </w:r>
      <w:r w:rsidR="008240CB" w:rsidRPr="003F423B">
        <w:rPr>
          <w:noProof/>
          <w:sz w:val="20"/>
          <w:szCs w:val="20"/>
          <w:lang w:val="en-US"/>
        </w:rPr>
        <w:t xml:space="preserve">TRAMBA, D. Svět v opojení megaprojektů. ekonom.ihned.cz/c1-64326010-svet-v-opojeni-megaprojekty (13. 10. 2018) </w:t>
      </w:r>
    </w:p>
    <w:p w:rsidR="008457E5" w:rsidRPr="003F423B" w:rsidRDefault="003F423B" w:rsidP="003F423B">
      <w:pPr>
        <w:spacing w:after="0"/>
        <w:ind w:left="705" w:hanging="705"/>
        <w:rPr>
          <w:noProof/>
          <w:sz w:val="20"/>
          <w:szCs w:val="20"/>
          <w:lang w:val="en-US"/>
        </w:rPr>
      </w:pPr>
      <w:r>
        <w:rPr>
          <w:noProof/>
          <w:sz w:val="20"/>
          <w:szCs w:val="20"/>
          <w:lang w:val="en-US"/>
        </w:rPr>
        <w:t>[3]</w:t>
      </w:r>
      <w:r>
        <w:rPr>
          <w:noProof/>
          <w:sz w:val="20"/>
          <w:szCs w:val="20"/>
          <w:lang w:val="en-US"/>
        </w:rPr>
        <w:tab/>
      </w:r>
      <w:r>
        <w:rPr>
          <w:noProof/>
          <w:sz w:val="20"/>
          <w:szCs w:val="20"/>
          <w:lang w:val="en-US"/>
        </w:rPr>
        <w:tab/>
      </w:r>
      <w:r w:rsidR="008457E5" w:rsidRPr="003F423B">
        <w:rPr>
          <w:noProof/>
          <w:sz w:val="20"/>
          <w:szCs w:val="20"/>
          <w:lang w:val="en-US"/>
        </w:rPr>
        <w:t xml:space="preserve">Elbphilharmonie. In: Wikipedia: the free encyclopedia [online]. San Francisco (CA): Wikimedia Foundation, 2001 [cit. 2018-10-05]. Dostupné z: </w:t>
      </w:r>
      <w:hyperlink r:id="rId15" w:history="1">
        <w:r w:rsidR="008457E5" w:rsidRPr="003F423B">
          <w:rPr>
            <w:noProof/>
            <w:sz w:val="20"/>
            <w:szCs w:val="20"/>
            <w:lang w:val="en-US"/>
          </w:rPr>
          <w:t>https://en.wikipedia.org/wiki/Elbphilharmonie</w:t>
        </w:r>
      </w:hyperlink>
    </w:p>
    <w:p w:rsidR="007D1B1C" w:rsidRPr="003F423B" w:rsidRDefault="003F423B" w:rsidP="003F423B">
      <w:pPr>
        <w:spacing w:after="0"/>
        <w:rPr>
          <w:noProof/>
          <w:sz w:val="20"/>
          <w:szCs w:val="20"/>
          <w:lang w:val="en-US"/>
        </w:rPr>
      </w:pPr>
      <w:r>
        <w:rPr>
          <w:noProof/>
          <w:sz w:val="20"/>
          <w:szCs w:val="20"/>
          <w:lang w:val="en-US"/>
        </w:rPr>
        <w:t>[4]</w:t>
      </w:r>
      <w:r>
        <w:rPr>
          <w:noProof/>
          <w:sz w:val="20"/>
          <w:szCs w:val="20"/>
          <w:lang w:val="en-US"/>
        </w:rPr>
        <w:tab/>
      </w:r>
      <w:r w:rsidR="007D1B1C" w:rsidRPr="003F423B">
        <w:rPr>
          <w:noProof/>
          <w:sz w:val="20"/>
          <w:szCs w:val="20"/>
          <w:lang w:val="en-US"/>
        </w:rPr>
        <w:t>FLYVBJERG,B. What You Should Know about Megaprojects and Why: An</w:t>
      </w:r>
    </w:p>
    <w:p w:rsidR="007D1B1C" w:rsidRPr="00177373" w:rsidRDefault="007D1B1C" w:rsidP="007D1B1C">
      <w:pPr>
        <w:pStyle w:val="Odstavecseseznamem"/>
        <w:rPr>
          <w:noProof/>
          <w:szCs w:val="24"/>
          <w:lang w:val="en-US"/>
        </w:rPr>
      </w:pPr>
      <w:r w:rsidRPr="003F423B">
        <w:rPr>
          <w:noProof/>
          <w:sz w:val="20"/>
          <w:szCs w:val="20"/>
          <w:lang w:val="en-US"/>
        </w:rPr>
        <w:t>Overview. Project Management Journal, vol. 45, no. 2, 4-5-2014, pp. 6-19, DOI:10.1002/pmj.21409</w:t>
      </w:r>
    </w:p>
    <w:sectPr w:rsidR="007D1B1C" w:rsidRPr="00177373" w:rsidSect="00C72E3E">
      <w:footerReference w:type="default" r:id="rId16"/>
      <w:pgSz w:w="11906" w:h="16838"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37" w:rsidRDefault="00161937" w:rsidP="00A65678">
      <w:pPr>
        <w:spacing w:after="0" w:line="240" w:lineRule="auto"/>
      </w:pPr>
      <w:r>
        <w:separator/>
      </w:r>
    </w:p>
  </w:endnote>
  <w:endnote w:type="continuationSeparator" w:id="0">
    <w:p w:rsidR="00161937" w:rsidRDefault="00161937" w:rsidP="00A6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5396"/>
      <w:docPartObj>
        <w:docPartGallery w:val="Page Numbers (Bottom of Page)"/>
        <w:docPartUnique/>
      </w:docPartObj>
    </w:sdtPr>
    <w:sdtEndPr>
      <w:rPr>
        <w:noProof/>
      </w:rPr>
    </w:sdtEndPr>
    <w:sdtContent>
      <w:p w:rsidR="005D671A" w:rsidRDefault="005D671A">
        <w:pPr>
          <w:pStyle w:val="Zpat"/>
          <w:jc w:val="center"/>
        </w:pPr>
        <w:r>
          <w:fldChar w:fldCharType="begin"/>
        </w:r>
        <w:r>
          <w:instrText xml:space="preserve"> PAGE   \* MERGEFORMAT </w:instrText>
        </w:r>
        <w:r>
          <w:fldChar w:fldCharType="separate"/>
        </w:r>
        <w:r w:rsidR="00CF0CD7">
          <w:rPr>
            <w:noProof/>
          </w:rPr>
          <w:t>2</w:t>
        </w:r>
        <w:r>
          <w:rPr>
            <w:noProof/>
          </w:rPr>
          <w:fldChar w:fldCharType="end"/>
        </w:r>
      </w:p>
    </w:sdtContent>
  </w:sdt>
  <w:p w:rsidR="005D671A" w:rsidRPr="001F4EC9" w:rsidRDefault="005D671A" w:rsidP="001F4E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37" w:rsidRDefault="00161937" w:rsidP="00A65678">
      <w:pPr>
        <w:spacing w:after="0" w:line="240" w:lineRule="auto"/>
      </w:pPr>
      <w:r>
        <w:separator/>
      </w:r>
    </w:p>
  </w:footnote>
  <w:footnote w:type="continuationSeparator" w:id="0">
    <w:p w:rsidR="00161937" w:rsidRDefault="00161937" w:rsidP="00A65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22"/>
    <w:multiLevelType w:val="hybridMultilevel"/>
    <w:tmpl w:val="45F2CF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5038A"/>
    <w:multiLevelType w:val="hybridMultilevel"/>
    <w:tmpl w:val="CFF45756"/>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 w15:restartNumberingAfterBreak="0">
    <w:nsid w:val="0729670A"/>
    <w:multiLevelType w:val="hybridMultilevel"/>
    <w:tmpl w:val="75D4BE0E"/>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4C04945"/>
    <w:multiLevelType w:val="hybridMultilevel"/>
    <w:tmpl w:val="80A6D19A"/>
    <w:lvl w:ilvl="0" w:tplc="D9985AE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D1849"/>
    <w:multiLevelType w:val="hybridMultilevel"/>
    <w:tmpl w:val="E1C62ADE"/>
    <w:lvl w:ilvl="0" w:tplc="C682098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1992"/>
    <w:multiLevelType w:val="hybridMultilevel"/>
    <w:tmpl w:val="6AA0FD4E"/>
    <w:lvl w:ilvl="0" w:tplc="04050005">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6" w15:restartNumberingAfterBreak="0">
    <w:nsid w:val="223459CB"/>
    <w:multiLevelType w:val="hybridMultilevel"/>
    <w:tmpl w:val="1B04F1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220FFC"/>
    <w:multiLevelType w:val="hybridMultilevel"/>
    <w:tmpl w:val="ADD409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393AD0"/>
    <w:multiLevelType w:val="hybridMultilevel"/>
    <w:tmpl w:val="3496EEBC"/>
    <w:lvl w:ilvl="0" w:tplc="BB7033D8">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82C22EC"/>
    <w:multiLevelType w:val="hybridMultilevel"/>
    <w:tmpl w:val="0598ED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C63085"/>
    <w:multiLevelType w:val="hybridMultilevel"/>
    <w:tmpl w:val="372E4DC0"/>
    <w:lvl w:ilvl="0" w:tplc="0405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C74B84"/>
    <w:multiLevelType w:val="hybridMultilevel"/>
    <w:tmpl w:val="82ECF9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86496B"/>
    <w:multiLevelType w:val="hybridMultilevel"/>
    <w:tmpl w:val="3634B202"/>
    <w:lvl w:ilvl="0" w:tplc="135892C0">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1FF4C33"/>
    <w:multiLevelType w:val="hybridMultilevel"/>
    <w:tmpl w:val="EE3C0378"/>
    <w:lvl w:ilvl="0" w:tplc="2F4A965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2CA24B5"/>
    <w:multiLevelType w:val="hybridMultilevel"/>
    <w:tmpl w:val="C9F8BCEC"/>
    <w:lvl w:ilvl="0" w:tplc="0405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4E43A6"/>
    <w:multiLevelType w:val="hybridMultilevel"/>
    <w:tmpl w:val="0A06FC12"/>
    <w:lvl w:ilvl="0" w:tplc="83BE909A">
      <w:start w:val="1"/>
      <w:numFmt w:val="bullet"/>
      <w:lvlText w:val="-"/>
      <w:lvlJc w:val="left"/>
      <w:pPr>
        <w:ind w:left="1068" w:hanging="360"/>
      </w:pPr>
      <w:rPr>
        <w:rFonts w:ascii="Calibri" w:eastAsiaTheme="minorEastAsia" w:hAnsi="Calibri"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5C2047B"/>
    <w:multiLevelType w:val="hybridMultilevel"/>
    <w:tmpl w:val="1B587836"/>
    <w:lvl w:ilvl="0" w:tplc="2F4A9650">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964F1E"/>
    <w:multiLevelType w:val="hybridMultilevel"/>
    <w:tmpl w:val="F37A1A3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F776952"/>
    <w:multiLevelType w:val="hybridMultilevel"/>
    <w:tmpl w:val="99E210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A000E6"/>
    <w:multiLevelType w:val="hybridMultilevel"/>
    <w:tmpl w:val="B8E8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5691A"/>
    <w:multiLevelType w:val="hybridMultilevel"/>
    <w:tmpl w:val="F208DE58"/>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3253C"/>
    <w:multiLevelType w:val="hybridMultilevel"/>
    <w:tmpl w:val="E5AA3F08"/>
    <w:lvl w:ilvl="0" w:tplc="8E12C9C6">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0"/>
  </w:num>
  <w:num w:numId="5">
    <w:abstractNumId w:val="1"/>
  </w:num>
  <w:num w:numId="6">
    <w:abstractNumId w:val="5"/>
  </w:num>
  <w:num w:numId="7">
    <w:abstractNumId w:val="2"/>
  </w:num>
  <w:num w:numId="8">
    <w:abstractNumId w:val="4"/>
  </w:num>
  <w:num w:numId="9">
    <w:abstractNumId w:val="21"/>
  </w:num>
  <w:num w:numId="10">
    <w:abstractNumId w:val="15"/>
  </w:num>
  <w:num w:numId="11">
    <w:abstractNumId w:val="20"/>
  </w:num>
  <w:num w:numId="12">
    <w:abstractNumId w:val="3"/>
  </w:num>
  <w:num w:numId="13">
    <w:abstractNumId w:val="10"/>
  </w:num>
  <w:num w:numId="14">
    <w:abstractNumId w:val="14"/>
  </w:num>
  <w:num w:numId="15">
    <w:abstractNumId w:val="19"/>
  </w:num>
  <w:num w:numId="16">
    <w:abstractNumId w:val="9"/>
  </w:num>
  <w:num w:numId="17">
    <w:abstractNumId w:val="18"/>
  </w:num>
  <w:num w:numId="18">
    <w:abstractNumId w:val="6"/>
  </w:num>
  <w:num w:numId="19">
    <w:abstractNumId w:val="8"/>
  </w:num>
  <w:num w:numId="20">
    <w:abstractNumId w:val="17"/>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xNDQwMjUyMbC0tDRU0lEKTi0uzszPAykwqgUAlDzcciwAAAA="/>
  </w:docVars>
  <w:rsids>
    <w:rsidRoot w:val="00610587"/>
    <w:rsid w:val="00000747"/>
    <w:rsid w:val="00001023"/>
    <w:rsid w:val="0000556E"/>
    <w:rsid w:val="00007CDE"/>
    <w:rsid w:val="00010F40"/>
    <w:rsid w:val="00016AB8"/>
    <w:rsid w:val="0002238E"/>
    <w:rsid w:val="00022877"/>
    <w:rsid w:val="00025705"/>
    <w:rsid w:val="00031DCA"/>
    <w:rsid w:val="0003633A"/>
    <w:rsid w:val="000369DA"/>
    <w:rsid w:val="00041C47"/>
    <w:rsid w:val="0004422D"/>
    <w:rsid w:val="00045BD1"/>
    <w:rsid w:val="00056FD9"/>
    <w:rsid w:val="0006284B"/>
    <w:rsid w:val="00065B69"/>
    <w:rsid w:val="00066F92"/>
    <w:rsid w:val="00074099"/>
    <w:rsid w:val="00076156"/>
    <w:rsid w:val="0008131E"/>
    <w:rsid w:val="000814D4"/>
    <w:rsid w:val="00084A05"/>
    <w:rsid w:val="00084DD7"/>
    <w:rsid w:val="00085ACF"/>
    <w:rsid w:val="00085BC3"/>
    <w:rsid w:val="00087E00"/>
    <w:rsid w:val="00087FC2"/>
    <w:rsid w:val="000950A2"/>
    <w:rsid w:val="00095662"/>
    <w:rsid w:val="00096C20"/>
    <w:rsid w:val="000A182C"/>
    <w:rsid w:val="000A313A"/>
    <w:rsid w:val="000A57FE"/>
    <w:rsid w:val="000B1C26"/>
    <w:rsid w:val="000B2DF5"/>
    <w:rsid w:val="000B3198"/>
    <w:rsid w:val="000B696E"/>
    <w:rsid w:val="000B6EED"/>
    <w:rsid w:val="000C158C"/>
    <w:rsid w:val="000D335C"/>
    <w:rsid w:val="000D3521"/>
    <w:rsid w:val="000D41DB"/>
    <w:rsid w:val="000E1D3F"/>
    <w:rsid w:val="000E33B2"/>
    <w:rsid w:val="000E3B8B"/>
    <w:rsid w:val="000E6448"/>
    <w:rsid w:val="000E6948"/>
    <w:rsid w:val="000E73EB"/>
    <w:rsid w:val="000F25D2"/>
    <w:rsid w:val="000F4011"/>
    <w:rsid w:val="000F4AD5"/>
    <w:rsid w:val="001120CC"/>
    <w:rsid w:val="00113EB6"/>
    <w:rsid w:val="00114C7D"/>
    <w:rsid w:val="00120E4B"/>
    <w:rsid w:val="00124E64"/>
    <w:rsid w:val="001250B2"/>
    <w:rsid w:val="00125870"/>
    <w:rsid w:val="00126618"/>
    <w:rsid w:val="00141D02"/>
    <w:rsid w:val="001477CD"/>
    <w:rsid w:val="0015258F"/>
    <w:rsid w:val="001531EB"/>
    <w:rsid w:val="0015409E"/>
    <w:rsid w:val="00156A92"/>
    <w:rsid w:val="00157599"/>
    <w:rsid w:val="00157A0A"/>
    <w:rsid w:val="00161937"/>
    <w:rsid w:val="00163DE4"/>
    <w:rsid w:val="00164FFD"/>
    <w:rsid w:val="00165245"/>
    <w:rsid w:val="00172CE0"/>
    <w:rsid w:val="00174092"/>
    <w:rsid w:val="00177373"/>
    <w:rsid w:val="00180AD1"/>
    <w:rsid w:val="001814F1"/>
    <w:rsid w:val="00181833"/>
    <w:rsid w:val="00183A08"/>
    <w:rsid w:val="00183A44"/>
    <w:rsid w:val="00184500"/>
    <w:rsid w:val="00184C62"/>
    <w:rsid w:val="0018712A"/>
    <w:rsid w:val="00191560"/>
    <w:rsid w:val="001924DF"/>
    <w:rsid w:val="00197E20"/>
    <w:rsid w:val="001A0632"/>
    <w:rsid w:val="001A566B"/>
    <w:rsid w:val="001A7C64"/>
    <w:rsid w:val="001B1ABC"/>
    <w:rsid w:val="001B2D4A"/>
    <w:rsid w:val="001B68C0"/>
    <w:rsid w:val="001B7A01"/>
    <w:rsid w:val="001C00CC"/>
    <w:rsid w:val="001C1454"/>
    <w:rsid w:val="001C3734"/>
    <w:rsid w:val="001C3FCC"/>
    <w:rsid w:val="001C457C"/>
    <w:rsid w:val="001C6700"/>
    <w:rsid w:val="001C7591"/>
    <w:rsid w:val="001D3AB9"/>
    <w:rsid w:val="001D4D7A"/>
    <w:rsid w:val="001D4F3F"/>
    <w:rsid w:val="001D6FF9"/>
    <w:rsid w:val="001F4EC9"/>
    <w:rsid w:val="001F5ED2"/>
    <w:rsid w:val="001F6380"/>
    <w:rsid w:val="001F6BC9"/>
    <w:rsid w:val="001F6F3E"/>
    <w:rsid w:val="0020066E"/>
    <w:rsid w:val="00206E00"/>
    <w:rsid w:val="002075E1"/>
    <w:rsid w:val="002103F3"/>
    <w:rsid w:val="00213B7C"/>
    <w:rsid w:val="00223D23"/>
    <w:rsid w:val="002263B6"/>
    <w:rsid w:val="0023374E"/>
    <w:rsid w:val="00236A38"/>
    <w:rsid w:val="00240E49"/>
    <w:rsid w:val="0025189E"/>
    <w:rsid w:val="002608A1"/>
    <w:rsid w:val="002659F9"/>
    <w:rsid w:val="00271B11"/>
    <w:rsid w:val="00272F8A"/>
    <w:rsid w:val="00276A8C"/>
    <w:rsid w:val="00282CBA"/>
    <w:rsid w:val="0028370D"/>
    <w:rsid w:val="00285DE7"/>
    <w:rsid w:val="00292093"/>
    <w:rsid w:val="0029277B"/>
    <w:rsid w:val="00293FC6"/>
    <w:rsid w:val="002941ED"/>
    <w:rsid w:val="002B1771"/>
    <w:rsid w:val="002B2CB1"/>
    <w:rsid w:val="002B671D"/>
    <w:rsid w:val="002B6E91"/>
    <w:rsid w:val="002B7600"/>
    <w:rsid w:val="002C23E3"/>
    <w:rsid w:val="002C2711"/>
    <w:rsid w:val="002C64FE"/>
    <w:rsid w:val="002D1DF6"/>
    <w:rsid w:val="002D3127"/>
    <w:rsid w:val="002D36C5"/>
    <w:rsid w:val="002D6899"/>
    <w:rsid w:val="002D732A"/>
    <w:rsid w:val="002E1FFE"/>
    <w:rsid w:val="002E78ED"/>
    <w:rsid w:val="002F31D0"/>
    <w:rsid w:val="002F70FA"/>
    <w:rsid w:val="00300248"/>
    <w:rsid w:val="003008C5"/>
    <w:rsid w:val="003019F3"/>
    <w:rsid w:val="00302232"/>
    <w:rsid w:val="003035EE"/>
    <w:rsid w:val="0030616F"/>
    <w:rsid w:val="00311997"/>
    <w:rsid w:val="00320255"/>
    <w:rsid w:val="003234BE"/>
    <w:rsid w:val="003358C1"/>
    <w:rsid w:val="003423C5"/>
    <w:rsid w:val="003436BC"/>
    <w:rsid w:val="00343F6D"/>
    <w:rsid w:val="0034531D"/>
    <w:rsid w:val="0035153A"/>
    <w:rsid w:val="00352978"/>
    <w:rsid w:val="003539F1"/>
    <w:rsid w:val="003541D1"/>
    <w:rsid w:val="003647FD"/>
    <w:rsid w:val="0036665D"/>
    <w:rsid w:val="00366F7C"/>
    <w:rsid w:val="00367036"/>
    <w:rsid w:val="0037684F"/>
    <w:rsid w:val="00381391"/>
    <w:rsid w:val="00387552"/>
    <w:rsid w:val="00395811"/>
    <w:rsid w:val="003971DC"/>
    <w:rsid w:val="003A1303"/>
    <w:rsid w:val="003A1881"/>
    <w:rsid w:val="003A3438"/>
    <w:rsid w:val="003A61D2"/>
    <w:rsid w:val="003B11FD"/>
    <w:rsid w:val="003B1425"/>
    <w:rsid w:val="003B218D"/>
    <w:rsid w:val="003B3A8C"/>
    <w:rsid w:val="003B58DF"/>
    <w:rsid w:val="003B7FC9"/>
    <w:rsid w:val="003D0594"/>
    <w:rsid w:val="003D05C3"/>
    <w:rsid w:val="003D3915"/>
    <w:rsid w:val="003D6886"/>
    <w:rsid w:val="003E2F19"/>
    <w:rsid w:val="003E763E"/>
    <w:rsid w:val="003F034F"/>
    <w:rsid w:val="003F0B35"/>
    <w:rsid w:val="003F4149"/>
    <w:rsid w:val="003F423B"/>
    <w:rsid w:val="003F4D8D"/>
    <w:rsid w:val="003F4DFD"/>
    <w:rsid w:val="003F6F75"/>
    <w:rsid w:val="003F766D"/>
    <w:rsid w:val="003F7DA9"/>
    <w:rsid w:val="00400D5B"/>
    <w:rsid w:val="00402FD5"/>
    <w:rsid w:val="0040491F"/>
    <w:rsid w:val="00410798"/>
    <w:rsid w:val="00412307"/>
    <w:rsid w:val="004129EE"/>
    <w:rsid w:val="00431676"/>
    <w:rsid w:val="00432A7D"/>
    <w:rsid w:val="00435258"/>
    <w:rsid w:val="00436770"/>
    <w:rsid w:val="00437412"/>
    <w:rsid w:val="00443013"/>
    <w:rsid w:val="00446CF6"/>
    <w:rsid w:val="00456448"/>
    <w:rsid w:val="00461327"/>
    <w:rsid w:val="00463673"/>
    <w:rsid w:val="00474B33"/>
    <w:rsid w:val="00494A50"/>
    <w:rsid w:val="00494CC1"/>
    <w:rsid w:val="004A0EA5"/>
    <w:rsid w:val="004A175D"/>
    <w:rsid w:val="004A1ECE"/>
    <w:rsid w:val="004A2370"/>
    <w:rsid w:val="004A3068"/>
    <w:rsid w:val="004A3733"/>
    <w:rsid w:val="004A47E3"/>
    <w:rsid w:val="004A6640"/>
    <w:rsid w:val="004A6DC1"/>
    <w:rsid w:val="004A72BE"/>
    <w:rsid w:val="004A72DA"/>
    <w:rsid w:val="004A746A"/>
    <w:rsid w:val="004B3C8C"/>
    <w:rsid w:val="004B4F98"/>
    <w:rsid w:val="004B5D85"/>
    <w:rsid w:val="004C0A3D"/>
    <w:rsid w:val="004C31AA"/>
    <w:rsid w:val="004C35F1"/>
    <w:rsid w:val="004C3BE4"/>
    <w:rsid w:val="004C64BD"/>
    <w:rsid w:val="004C698D"/>
    <w:rsid w:val="004D0607"/>
    <w:rsid w:val="004D0FB0"/>
    <w:rsid w:val="004D2569"/>
    <w:rsid w:val="004D2F66"/>
    <w:rsid w:val="004D4196"/>
    <w:rsid w:val="004D4677"/>
    <w:rsid w:val="004D6C13"/>
    <w:rsid w:val="004E227E"/>
    <w:rsid w:val="004E47A8"/>
    <w:rsid w:val="004E5C47"/>
    <w:rsid w:val="004E6A8A"/>
    <w:rsid w:val="004E6B42"/>
    <w:rsid w:val="004F0EC2"/>
    <w:rsid w:val="00500679"/>
    <w:rsid w:val="00506455"/>
    <w:rsid w:val="005110B3"/>
    <w:rsid w:val="005133C0"/>
    <w:rsid w:val="005143FD"/>
    <w:rsid w:val="005228D9"/>
    <w:rsid w:val="00522EF1"/>
    <w:rsid w:val="00525948"/>
    <w:rsid w:val="00533041"/>
    <w:rsid w:val="00533C58"/>
    <w:rsid w:val="00533E36"/>
    <w:rsid w:val="00534874"/>
    <w:rsid w:val="0053780F"/>
    <w:rsid w:val="00540C1A"/>
    <w:rsid w:val="00540F8F"/>
    <w:rsid w:val="00541673"/>
    <w:rsid w:val="005448B4"/>
    <w:rsid w:val="00545773"/>
    <w:rsid w:val="00546B99"/>
    <w:rsid w:val="00551CEF"/>
    <w:rsid w:val="00551FC5"/>
    <w:rsid w:val="005538D8"/>
    <w:rsid w:val="00563E87"/>
    <w:rsid w:val="00570210"/>
    <w:rsid w:val="005805BA"/>
    <w:rsid w:val="005822D1"/>
    <w:rsid w:val="005822FB"/>
    <w:rsid w:val="00582E72"/>
    <w:rsid w:val="0058651B"/>
    <w:rsid w:val="005904D6"/>
    <w:rsid w:val="00593AAC"/>
    <w:rsid w:val="005A44D3"/>
    <w:rsid w:val="005A5072"/>
    <w:rsid w:val="005B003F"/>
    <w:rsid w:val="005B2354"/>
    <w:rsid w:val="005B383A"/>
    <w:rsid w:val="005B5F40"/>
    <w:rsid w:val="005B62A6"/>
    <w:rsid w:val="005B6F0C"/>
    <w:rsid w:val="005D54B7"/>
    <w:rsid w:val="005D671A"/>
    <w:rsid w:val="005D7A96"/>
    <w:rsid w:val="005E279E"/>
    <w:rsid w:val="005E6711"/>
    <w:rsid w:val="005E7764"/>
    <w:rsid w:val="005F3FEB"/>
    <w:rsid w:val="005F4A86"/>
    <w:rsid w:val="005F629C"/>
    <w:rsid w:val="005F7FCF"/>
    <w:rsid w:val="00600613"/>
    <w:rsid w:val="006021B6"/>
    <w:rsid w:val="00606089"/>
    <w:rsid w:val="00610587"/>
    <w:rsid w:val="00612738"/>
    <w:rsid w:val="00612D64"/>
    <w:rsid w:val="006254DB"/>
    <w:rsid w:val="00627833"/>
    <w:rsid w:val="00633E5D"/>
    <w:rsid w:val="00634EF6"/>
    <w:rsid w:val="0063538D"/>
    <w:rsid w:val="006423E8"/>
    <w:rsid w:val="00647592"/>
    <w:rsid w:val="00657034"/>
    <w:rsid w:val="0065776B"/>
    <w:rsid w:val="006620DF"/>
    <w:rsid w:val="00662102"/>
    <w:rsid w:val="006653BB"/>
    <w:rsid w:val="00666FE5"/>
    <w:rsid w:val="006705E9"/>
    <w:rsid w:val="00671412"/>
    <w:rsid w:val="00673548"/>
    <w:rsid w:val="006744FF"/>
    <w:rsid w:val="00674BF9"/>
    <w:rsid w:val="00675BA3"/>
    <w:rsid w:val="006779F2"/>
    <w:rsid w:val="00681084"/>
    <w:rsid w:val="00687048"/>
    <w:rsid w:val="0069109F"/>
    <w:rsid w:val="0069769E"/>
    <w:rsid w:val="00697E1E"/>
    <w:rsid w:val="006A1C03"/>
    <w:rsid w:val="006A3717"/>
    <w:rsid w:val="006A43B7"/>
    <w:rsid w:val="006A5641"/>
    <w:rsid w:val="006B08C6"/>
    <w:rsid w:val="006C46D8"/>
    <w:rsid w:val="006C6553"/>
    <w:rsid w:val="006D2DB1"/>
    <w:rsid w:val="006D35DB"/>
    <w:rsid w:val="006D4FF5"/>
    <w:rsid w:val="006D7986"/>
    <w:rsid w:val="006E6119"/>
    <w:rsid w:val="006F36DE"/>
    <w:rsid w:val="006F4611"/>
    <w:rsid w:val="006F58C5"/>
    <w:rsid w:val="006F6049"/>
    <w:rsid w:val="00702677"/>
    <w:rsid w:val="0070467A"/>
    <w:rsid w:val="007050DE"/>
    <w:rsid w:val="00706CAB"/>
    <w:rsid w:val="0070717F"/>
    <w:rsid w:val="0070757B"/>
    <w:rsid w:val="007106AB"/>
    <w:rsid w:val="0071095F"/>
    <w:rsid w:val="00713D0F"/>
    <w:rsid w:val="00714D6F"/>
    <w:rsid w:val="00715552"/>
    <w:rsid w:val="007203A6"/>
    <w:rsid w:val="007217F6"/>
    <w:rsid w:val="007242FE"/>
    <w:rsid w:val="00724607"/>
    <w:rsid w:val="00730BDF"/>
    <w:rsid w:val="00732061"/>
    <w:rsid w:val="00732C1A"/>
    <w:rsid w:val="0073363A"/>
    <w:rsid w:val="00733B2D"/>
    <w:rsid w:val="00734050"/>
    <w:rsid w:val="00734E90"/>
    <w:rsid w:val="00742446"/>
    <w:rsid w:val="00746CE2"/>
    <w:rsid w:val="00750FEB"/>
    <w:rsid w:val="0075531D"/>
    <w:rsid w:val="00757450"/>
    <w:rsid w:val="00761098"/>
    <w:rsid w:val="007618F9"/>
    <w:rsid w:val="00771E5E"/>
    <w:rsid w:val="00771EB4"/>
    <w:rsid w:val="0077219A"/>
    <w:rsid w:val="00772CD5"/>
    <w:rsid w:val="00773A88"/>
    <w:rsid w:val="00775E06"/>
    <w:rsid w:val="00782889"/>
    <w:rsid w:val="00785A53"/>
    <w:rsid w:val="007903E7"/>
    <w:rsid w:val="00792899"/>
    <w:rsid w:val="00792B66"/>
    <w:rsid w:val="0079514E"/>
    <w:rsid w:val="007A010D"/>
    <w:rsid w:val="007A0A29"/>
    <w:rsid w:val="007A6A62"/>
    <w:rsid w:val="007B0538"/>
    <w:rsid w:val="007B2E38"/>
    <w:rsid w:val="007B2F07"/>
    <w:rsid w:val="007C41AB"/>
    <w:rsid w:val="007C5A2E"/>
    <w:rsid w:val="007D1B1C"/>
    <w:rsid w:val="007D48A7"/>
    <w:rsid w:val="007D5935"/>
    <w:rsid w:val="007D7A29"/>
    <w:rsid w:val="007E72CF"/>
    <w:rsid w:val="007F0964"/>
    <w:rsid w:val="007F0C7B"/>
    <w:rsid w:val="007F1D01"/>
    <w:rsid w:val="007F228F"/>
    <w:rsid w:val="008001B0"/>
    <w:rsid w:val="00800E2F"/>
    <w:rsid w:val="00802A3F"/>
    <w:rsid w:val="00804455"/>
    <w:rsid w:val="00805C1F"/>
    <w:rsid w:val="00810FE2"/>
    <w:rsid w:val="008124AE"/>
    <w:rsid w:val="00817C6A"/>
    <w:rsid w:val="008240CB"/>
    <w:rsid w:val="0082458E"/>
    <w:rsid w:val="008273C3"/>
    <w:rsid w:val="008404C4"/>
    <w:rsid w:val="00841AE3"/>
    <w:rsid w:val="008457E5"/>
    <w:rsid w:val="00845A89"/>
    <w:rsid w:val="00846B4B"/>
    <w:rsid w:val="00846B7A"/>
    <w:rsid w:val="00856ED5"/>
    <w:rsid w:val="008625BD"/>
    <w:rsid w:val="00862853"/>
    <w:rsid w:val="00870C40"/>
    <w:rsid w:val="00870EFF"/>
    <w:rsid w:val="00871E2F"/>
    <w:rsid w:val="008722BA"/>
    <w:rsid w:val="0087667D"/>
    <w:rsid w:val="00884591"/>
    <w:rsid w:val="0089068C"/>
    <w:rsid w:val="00890B13"/>
    <w:rsid w:val="00890DC2"/>
    <w:rsid w:val="008922D8"/>
    <w:rsid w:val="00892395"/>
    <w:rsid w:val="00894602"/>
    <w:rsid w:val="00894AE8"/>
    <w:rsid w:val="008978B0"/>
    <w:rsid w:val="008A05C5"/>
    <w:rsid w:val="008A10FD"/>
    <w:rsid w:val="008A3897"/>
    <w:rsid w:val="008A6A83"/>
    <w:rsid w:val="008A7933"/>
    <w:rsid w:val="008B1F4A"/>
    <w:rsid w:val="008B305C"/>
    <w:rsid w:val="008B5569"/>
    <w:rsid w:val="008B5D71"/>
    <w:rsid w:val="008D0EEB"/>
    <w:rsid w:val="008D17DF"/>
    <w:rsid w:val="008D46AF"/>
    <w:rsid w:val="008D49D9"/>
    <w:rsid w:val="008D73EC"/>
    <w:rsid w:val="008E0435"/>
    <w:rsid w:val="008E4966"/>
    <w:rsid w:val="008F220A"/>
    <w:rsid w:val="008F283C"/>
    <w:rsid w:val="008F35D7"/>
    <w:rsid w:val="00902593"/>
    <w:rsid w:val="009033D3"/>
    <w:rsid w:val="00906019"/>
    <w:rsid w:val="0091134C"/>
    <w:rsid w:val="0091540D"/>
    <w:rsid w:val="00917469"/>
    <w:rsid w:val="00917E5E"/>
    <w:rsid w:val="0092000B"/>
    <w:rsid w:val="00924DA8"/>
    <w:rsid w:val="009257E0"/>
    <w:rsid w:val="009313A8"/>
    <w:rsid w:val="009322E6"/>
    <w:rsid w:val="009327C8"/>
    <w:rsid w:val="0093308F"/>
    <w:rsid w:val="009341A6"/>
    <w:rsid w:val="0094031F"/>
    <w:rsid w:val="00945978"/>
    <w:rsid w:val="00960DDD"/>
    <w:rsid w:val="009643DA"/>
    <w:rsid w:val="00965868"/>
    <w:rsid w:val="00965CE9"/>
    <w:rsid w:val="0096786A"/>
    <w:rsid w:val="00971A31"/>
    <w:rsid w:val="009771CB"/>
    <w:rsid w:val="009811D9"/>
    <w:rsid w:val="00985A5E"/>
    <w:rsid w:val="009879CC"/>
    <w:rsid w:val="0099066A"/>
    <w:rsid w:val="00990DB6"/>
    <w:rsid w:val="00991238"/>
    <w:rsid w:val="00991973"/>
    <w:rsid w:val="00991A92"/>
    <w:rsid w:val="00992FE4"/>
    <w:rsid w:val="009972FB"/>
    <w:rsid w:val="009A202E"/>
    <w:rsid w:val="009A28D7"/>
    <w:rsid w:val="009A666D"/>
    <w:rsid w:val="009A7E9A"/>
    <w:rsid w:val="009B2834"/>
    <w:rsid w:val="009B52E4"/>
    <w:rsid w:val="009C23F2"/>
    <w:rsid w:val="009C7A1C"/>
    <w:rsid w:val="009D1AD3"/>
    <w:rsid w:val="009D5545"/>
    <w:rsid w:val="009D5BDD"/>
    <w:rsid w:val="009D5FC1"/>
    <w:rsid w:val="009E47FE"/>
    <w:rsid w:val="009E4C9D"/>
    <w:rsid w:val="009E6158"/>
    <w:rsid w:val="009E6C08"/>
    <w:rsid w:val="009F4334"/>
    <w:rsid w:val="009F69EB"/>
    <w:rsid w:val="009F6F1B"/>
    <w:rsid w:val="009F7366"/>
    <w:rsid w:val="00A00870"/>
    <w:rsid w:val="00A07E0F"/>
    <w:rsid w:val="00A109BB"/>
    <w:rsid w:val="00A11F94"/>
    <w:rsid w:val="00A1497C"/>
    <w:rsid w:val="00A16DA2"/>
    <w:rsid w:val="00A17608"/>
    <w:rsid w:val="00A221A6"/>
    <w:rsid w:val="00A26626"/>
    <w:rsid w:val="00A27E3C"/>
    <w:rsid w:val="00A35E44"/>
    <w:rsid w:val="00A37971"/>
    <w:rsid w:val="00A432CC"/>
    <w:rsid w:val="00A45C77"/>
    <w:rsid w:val="00A51B76"/>
    <w:rsid w:val="00A53733"/>
    <w:rsid w:val="00A57FD9"/>
    <w:rsid w:val="00A65644"/>
    <w:rsid w:val="00A65678"/>
    <w:rsid w:val="00A67C51"/>
    <w:rsid w:val="00A70A18"/>
    <w:rsid w:val="00A74DD9"/>
    <w:rsid w:val="00A85A60"/>
    <w:rsid w:val="00A9039B"/>
    <w:rsid w:val="00A90A8D"/>
    <w:rsid w:val="00A92F4F"/>
    <w:rsid w:val="00A940C8"/>
    <w:rsid w:val="00AA410B"/>
    <w:rsid w:val="00AA71A5"/>
    <w:rsid w:val="00AA7285"/>
    <w:rsid w:val="00AA7D61"/>
    <w:rsid w:val="00AB5CE3"/>
    <w:rsid w:val="00AB6222"/>
    <w:rsid w:val="00AB6BCA"/>
    <w:rsid w:val="00AC0C49"/>
    <w:rsid w:val="00AC37CB"/>
    <w:rsid w:val="00AC59F0"/>
    <w:rsid w:val="00AC7F39"/>
    <w:rsid w:val="00AD3146"/>
    <w:rsid w:val="00AD455E"/>
    <w:rsid w:val="00AE4BF4"/>
    <w:rsid w:val="00AE4DB1"/>
    <w:rsid w:val="00AE7533"/>
    <w:rsid w:val="00AF154E"/>
    <w:rsid w:val="00AF32C3"/>
    <w:rsid w:val="00B028AA"/>
    <w:rsid w:val="00B03E06"/>
    <w:rsid w:val="00B05B6D"/>
    <w:rsid w:val="00B06F53"/>
    <w:rsid w:val="00B10DFA"/>
    <w:rsid w:val="00B11464"/>
    <w:rsid w:val="00B1498D"/>
    <w:rsid w:val="00B27D9F"/>
    <w:rsid w:val="00B27EAE"/>
    <w:rsid w:val="00B351BB"/>
    <w:rsid w:val="00B42DB7"/>
    <w:rsid w:val="00B45851"/>
    <w:rsid w:val="00B512FE"/>
    <w:rsid w:val="00B5439B"/>
    <w:rsid w:val="00B61F1B"/>
    <w:rsid w:val="00B62796"/>
    <w:rsid w:val="00B640A6"/>
    <w:rsid w:val="00B65424"/>
    <w:rsid w:val="00B67BCE"/>
    <w:rsid w:val="00B729B0"/>
    <w:rsid w:val="00B74714"/>
    <w:rsid w:val="00B769C8"/>
    <w:rsid w:val="00B84133"/>
    <w:rsid w:val="00B8475E"/>
    <w:rsid w:val="00B969A1"/>
    <w:rsid w:val="00B97705"/>
    <w:rsid w:val="00B97F68"/>
    <w:rsid w:val="00BA0453"/>
    <w:rsid w:val="00BA0D26"/>
    <w:rsid w:val="00BA3953"/>
    <w:rsid w:val="00BA4719"/>
    <w:rsid w:val="00BA65B0"/>
    <w:rsid w:val="00BA75E3"/>
    <w:rsid w:val="00BB0657"/>
    <w:rsid w:val="00BB561C"/>
    <w:rsid w:val="00BC7839"/>
    <w:rsid w:val="00BD12BD"/>
    <w:rsid w:val="00BD1C79"/>
    <w:rsid w:val="00BD246B"/>
    <w:rsid w:val="00BD30A2"/>
    <w:rsid w:val="00BD5498"/>
    <w:rsid w:val="00BF0A3E"/>
    <w:rsid w:val="00BF298C"/>
    <w:rsid w:val="00BF5AE4"/>
    <w:rsid w:val="00BF60DF"/>
    <w:rsid w:val="00BF6959"/>
    <w:rsid w:val="00C04BC2"/>
    <w:rsid w:val="00C063F7"/>
    <w:rsid w:val="00C10E47"/>
    <w:rsid w:val="00C114E8"/>
    <w:rsid w:val="00C12FBC"/>
    <w:rsid w:val="00C13CC0"/>
    <w:rsid w:val="00C14128"/>
    <w:rsid w:val="00C14E07"/>
    <w:rsid w:val="00C15485"/>
    <w:rsid w:val="00C1731C"/>
    <w:rsid w:val="00C26760"/>
    <w:rsid w:val="00C30715"/>
    <w:rsid w:val="00C33AA5"/>
    <w:rsid w:val="00C3529F"/>
    <w:rsid w:val="00C37CC5"/>
    <w:rsid w:val="00C46125"/>
    <w:rsid w:val="00C46410"/>
    <w:rsid w:val="00C47C17"/>
    <w:rsid w:val="00C508A1"/>
    <w:rsid w:val="00C521FB"/>
    <w:rsid w:val="00C523D6"/>
    <w:rsid w:val="00C531BF"/>
    <w:rsid w:val="00C57EF3"/>
    <w:rsid w:val="00C67DE7"/>
    <w:rsid w:val="00C72E3E"/>
    <w:rsid w:val="00C77A32"/>
    <w:rsid w:val="00C84F5C"/>
    <w:rsid w:val="00C92399"/>
    <w:rsid w:val="00C923BC"/>
    <w:rsid w:val="00C95C94"/>
    <w:rsid w:val="00C9651C"/>
    <w:rsid w:val="00CA053D"/>
    <w:rsid w:val="00CA399E"/>
    <w:rsid w:val="00CA4D9A"/>
    <w:rsid w:val="00CB2AC8"/>
    <w:rsid w:val="00CB3B35"/>
    <w:rsid w:val="00CB5093"/>
    <w:rsid w:val="00CB5BE3"/>
    <w:rsid w:val="00CC4F8D"/>
    <w:rsid w:val="00CC69A8"/>
    <w:rsid w:val="00CE6CCF"/>
    <w:rsid w:val="00CF0CD7"/>
    <w:rsid w:val="00CF0EED"/>
    <w:rsid w:val="00CF1468"/>
    <w:rsid w:val="00CF4519"/>
    <w:rsid w:val="00CF4F2F"/>
    <w:rsid w:val="00CF5411"/>
    <w:rsid w:val="00CF7079"/>
    <w:rsid w:val="00D006C8"/>
    <w:rsid w:val="00D05EB4"/>
    <w:rsid w:val="00D106DB"/>
    <w:rsid w:val="00D121AC"/>
    <w:rsid w:val="00D12891"/>
    <w:rsid w:val="00D16312"/>
    <w:rsid w:val="00D17ACB"/>
    <w:rsid w:val="00D21E09"/>
    <w:rsid w:val="00D266B2"/>
    <w:rsid w:val="00D344E9"/>
    <w:rsid w:val="00D354D3"/>
    <w:rsid w:val="00D40598"/>
    <w:rsid w:val="00D46BB9"/>
    <w:rsid w:val="00D53B02"/>
    <w:rsid w:val="00D61956"/>
    <w:rsid w:val="00D62613"/>
    <w:rsid w:val="00D64424"/>
    <w:rsid w:val="00D66694"/>
    <w:rsid w:val="00D74678"/>
    <w:rsid w:val="00D76468"/>
    <w:rsid w:val="00D84A0B"/>
    <w:rsid w:val="00D85372"/>
    <w:rsid w:val="00D85405"/>
    <w:rsid w:val="00D87A7F"/>
    <w:rsid w:val="00D87BAD"/>
    <w:rsid w:val="00D920DC"/>
    <w:rsid w:val="00D95531"/>
    <w:rsid w:val="00D95BB8"/>
    <w:rsid w:val="00DA1353"/>
    <w:rsid w:val="00DA4386"/>
    <w:rsid w:val="00DB2D60"/>
    <w:rsid w:val="00DC1CA6"/>
    <w:rsid w:val="00DC259E"/>
    <w:rsid w:val="00DC4265"/>
    <w:rsid w:val="00DD0EF8"/>
    <w:rsid w:val="00DD10C8"/>
    <w:rsid w:val="00DD2F15"/>
    <w:rsid w:val="00DD4F41"/>
    <w:rsid w:val="00DD7D12"/>
    <w:rsid w:val="00DE2ABF"/>
    <w:rsid w:val="00DE3FE1"/>
    <w:rsid w:val="00DF0CEB"/>
    <w:rsid w:val="00DF438A"/>
    <w:rsid w:val="00E0006F"/>
    <w:rsid w:val="00E02AA7"/>
    <w:rsid w:val="00E05D33"/>
    <w:rsid w:val="00E0798B"/>
    <w:rsid w:val="00E145DD"/>
    <w:rsid w:val="00E153D8"/>
    <w:rsid w:val="00E157C1"/>
    <w:rsid w:val="00E17D69"/>
    <w:rsid w:val="00E2249F"/>
    <w:rsid w:val="00E24FAE"/>
    <w:rsid w:val="00E26E67"/>
    <w:rsid w:val="00E33A33"/>
    <w:rsid w:val="00E3428C"/>
    <w:rsid w:val="00E35296"/>
    <w:rsid w:val="00E40017"/>
    <w:rsid w:val="00E409FC"/>
    <w:rsid w:val="00E40AED"/>
    <w:rsid w:val="00E444C7"/>
    <w:rsid w:val="00E463DA"/>
    <w:rsid w:val="00E53026"/>
    <w:rsid w:val="00E5400D"/>
    <w:rsid w:val="00E60C46"/>
    <w:rsid w:val="00E60D73"/>
    <w:rsid w:val="00E623D4"/>
    <w:rsid w:val="00E624BC"/>
    <w:rsid w:val="00E6617A"/>
    <w:rsid w:val="00E6743C"/>
    <w:rsid w:val="00E70ABD"/>
    <w:rsid w:val="00E74105"/>
    <w:rsid w:val="00E83C7C"/>
    <w:rsid w:val="00E86F28"/>
    <w:rsid w:val="00E93768"/>
    <w:rsid w:val="00E9439F"/>
    <w:rsid w:val="00E94E19"/>
    <w:rsid w:val="00E97F80"/>
    <w:rsid w:val="00EA0745"/>
    <w:rsid w:val="00EA481B"/>
    <w:rsid w:val="00EB58F1"/>
    <w:rsid w:val="00EB7D61"/>
    <w:rsid w:val="00EC0946"/>
    <w:rsid w:val="00EC1650"/>
    <w:rsid w:val="00EC4065"/>
    <w:rsid w:val="00EC517E"/>
    <w:rsid w:val="00EC641E"/>
    <w:rsid w:val="00ED2092"/>
    <w:rsid w:val="00ED2E35"/>
    <w:rsid w:val="00ED5575"/>
    <w:rsid w:val="00ED6F99"/>
    <w:rsid w:val="00EE1932"/>
    <w:rsid w:val="00EE1A11"/>
    <w:rsid w:val="00EE2861"/>
    <w:rsid w:val="00EE347B"/>
    <w:rsid w:val="00EF104F"/>
    <w:rsid w:val="00EF2132"/>
    <w:rsid w:val="00EF506D"/>
    <w:rsid w:val="00EF633E"/>
    <w:rsid w:val="00F00CC2"/>
    <w:rsid w:val="00F01D8E"/>
    <w:rsid w:val="00F0491B"/>
    <w:rsid w:val="00F119C3"/>
    <w:rsid w:val="00F12815"/>
    <w:rsid w:val="00F14CB5"/>
    <w:rsid w:val="00F15A7A"/>
    <w:rsid w:val="00F15D54"/>
    <w:rsid w:val="00F24CA8"/>
    <w:rsid w:val="00F27D29"/>
    <w:rsid w:val="00F3214A"/>
    <w:rsid w:val="00F34835"/>
    <w:rsid w:val="00F40250"/>
    <w:rsid w:val="00F409D9"/>
    <w:rsid w:val="00F4177C"/>
    <w:rsid w:val="00F41F90"/>
    <w:rsid w:val="00F42AF9"/>
    <w:rsid w:val="00F52727"/>
    <w:rsid w:val="00F56700"/>
    <w:rsid w:val="00F56C18"/>
    <w:rsid w:val="00F656D3"/>
    <w:rsid w:val="00F65A0C"/>
    <w:rsid w:val="00F73A22"/>
    <w:rsid w:val="00F80842"/>
    <w:rsid w:val="00F80AD1"/>
    <w:rsid w:val="00F82062"/>
    <w:rsid w:val="00F83A43"/>
    <w:rsid w:val="00F847BB"/>
    <w:rsid w:val="00F87F1B"/>
    <w:rsid w:val="00F9163D"/>
    <w:rsid w:val="00F91FF4"/>
    <w:rsid w:val="00F92EA1"/>
    <w:rsid w:val="00F93FEE"/>
    <w:rsid w:val="00FA386E"/>
    <w:rsid w:val="00FA4B50"/>
    <w:rsid w:val="00FA5892"/>
    <w:rsid w:val="00FA7CB4"/>
    <w:rsid w:val="00FB1CB8"/>
    <w:rsid w:val="00FB21A3"/>
    <w:rsid w:val="00FB3E15"/>
    <w:rsid w:val="00FB42F3"/>
    <w:rsid w:val="00FB4E3F"/>
    <w:rsid w:val="00FB5F17"/>
    <w:rsid w:val="00FB61C2"/>
    <w:rsid w:val="00FB670F"/>
    <w:rsid w:val="00FB7807"/>
    <w:rsid w:val="00FC09A8"/>
    <w:rsid w:val="00FD255E"/>
    <w:rsid w:val="00FE0032"/>
    <w:rsid w:val="00FE0589"/>
    <w:rsid w:val="00FE1A27"/>
    <w:rsid w:val="00FE412D"/>
    <w:rsid w:val="00FE6999"/>
    <w:rsid w:val="00FE731A"/>
    <w:rsid w:val="00FF104D"/>
    <w:rsid w:val="00FF32E6"/>
    <w:rsid w:val="00FF5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9AF5C-6C35-479D-8918-1D39B364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457C"/>
    <w:rPr>
      <w:sz w:val="24"/>
    </w:rPr>
  </w:style>
  <w:style w:type="paragraph" w:styleId="Nadpis1">
    <w:name w:val="heading 1"/>
    <w:basedOn w:val="Normln"/>
    <w:next w:val="Normln"/>
    <w:link w:val="Nadpis1Char"/>
    <w:qFormat/>
    <w:rsid w:val="006744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773A88"/>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10587"/>
    <w:rPr>
      <w:sz w:val="16"/>
      <w:szCs w:val="16"/>
    </w:rPr>
  </w:style>
  <w:style w:type="paragraph" w:styleId="Textkomente">
    <w:name w:val="annotation text"/>
    <w:basedOn w:val="Normln"/>
    <w:link w:val="TextkomenteChar"/>
    <w:uiPriority w:val="99"/>
    <w:semiHidden/>
    <w:unhideWhenUsed/>
    <w:rsid w:val="00610587"/>
    <w:pPr>
      <w:spacing w:line="240" w:lineRule="auto"/>
    </w:pPr>
    <w:rPr>
      <w:sz w:val="20"/>
      <w:szCs w:val="20"/>
    </w:rPr>
  </w:style>
  <w:style w:type="character" w:customStyle="1" w:styleId="TextkomenteChar">
    <w:name w:val="Text komentáře Char"/>
    <w:basedOn w:val="Standardnpsmoodstavce"/>
    <w:link w:val="Textkomente"/>
    <w:uiPriority w:val="99"/>
    <w:semiHidden/>
    <w:rsid w:val="00610587"/>
    <w:rPr>
      <w:sz w:val="20"/>
      <w:szCs w:val="20"/>
    </w:rPr>
  </w:style>
  <w:style w:type="paragraph" w:styleId="Textbubliny">
    <w:name w:val="Balloon Text"/>
    <w:basedOn w:val="Normln"/>
    <w:link w:val="TextbublinyChar"/>
    <w:uiPriority w:val="99"/>
    <w:semiHidden/>
    <w:unhideWhenUsed/>
    <w:rsid w:val="006105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0587"/>
    <w:rPr>
      <w:rFonts w:ascii="Tahoma" w:hAnsi="Tahoma" w:cs="Tahoma"/>
      <w:sz w:val="16"/>
      <w:szCs w:val="16"/>
    </w:rPr>
  </w:style>
  <w:style w:type="character" w:styleId="Hypertextovodkaz">
    <w:name w:val="Hyperlink"/>
    <w:basedOn w:val="Standardnpsmoodstavce"/>
    <w:uiPriority w:val="99"/>
    <w:unhideWhenUsed/>
    <w:rsid w:val="0029277B"/>
    <w:rPr>
      <w:color w:val="0000FF" w:themeColor="hyperlink"/>
      <w:u w:val="single"/>
    </w:rPr>
  </w:style>
  <w:style w:type="paragraph" w:styleId="Odstavecseseznamem">
    <w:name w:val="List Paragraph"/>
    <w:basedOn w:val="Normln"/>
    <w:uiPriority w:val="34"/>
    <w:qFormat/>
    <w:rsid w:val="00F82062"/>
    <w:pPr>
      <w:ind w:left="720"/>
      <w:contextualSpacing/>
    </w:pPr>
  </w:style>
  <w:style w:type="paragraph" w:styleId="Pedmtkomente">
    <w:name w:val="annotation subject"/>
    <w:basedOn w:val="Textkomente"/>
    <w:next w:val="Textkomente"/>
    <w:link w:val="PedmtkomenteChar"/>
    <w:uiPriority w:val="99"/>
    <w:semiHidden/>
    <w:unhideWhenUsed/>
    <w:rsid w:val="00CB2AC8"/>
    <w:rPr>
      <w:b/>
      <w:bCs/>
    </w:rPr>
  </w:style>
  <w:style w:type="character" w:customStyle="1" w:styleId="PedmtkomenteChar">
    <w:name w:val="Předmět komentáře Char"/>
    <w:basedOn w:val="TextkomenteChar"/>
    <w:link w:val="Pedmtkomente"/>
    <w:uiPriority w:val="99"/>
    <w:semiHidden/>
    <w:rsid w:val="00CB2AC8"/>
    <w:rPr>
      <w:b/>
      <w:bCs/>
      <w:sz w:val="20"/>
      <w:szCs w:val="20"/>
    </w:rPr>
  </w:style>
  <w:style w:type="paragraph" w:styleId="Revize">
    <w:name w:val="Revision"/>
    <w:hidden/>
    <w:uiPriority w:val="99"/>
    <w:semiHidden/>
    <w:rsid w:val="00CB2AC8"/>
    <w:pPr>
      <w:spacing w:after="0" w:line="240" w:lineRule="auto"/>
    </w:pPr>
  </w:style>
  <w:style w:type="paragraph" w:styleId="Textpoznpodarou">
    <w:name w:val="footnote text"/>
    <w:basedOn w:val="Normln"/>
    <w:link w:val="TextpoznpodarouChar"/>
    <w:uiPriority w:val="99"/>
    <w:semiHidden/>
    <w:unhideWhenUsed/>
    <w:rsid w:val="00A656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65678"/>
    <w:rPr>
      <w:sz w:val="20"/>
      <w:szCs w:val="20"/>
    </w:rPr>
  </w:style>
  <w:style w:type="character" w:styleId="Znakapoznpodarou">
    <w:name w:val="footnote reference"/>
    <w:basedOn w:val="Standardnpsmoodstavce"/>
    <w:uiPriority w:val="99"/>
    <w:semiHidden/>
    <w:unhideWhenUsed/>
    <w:rsid w:val="00A65678"/>
    <w:rPr>
      <w:vertAlign w:val="superscript"/>
    </w:rPr>
  </w:style>
  <w:style w:type="character" w:customStyle="1" w:styleId="apple-converted-space">
    <w:name w:val="apple-converted-space"/>
    <w:basedOn w:val="Standardnpsmoodstavce"/>
    <w:rsid w:val="00292093"/>
  </w:style>
  <w:style w:type="paragraph" w:styleId="Normlnweb">
    <w:name w:val="Normal (Web)"/>
    <w:basedOn w:val="Normln"/>
    <w:uiPriority w:val="99"/>
    <w:semiHidden/>
    <w:unhideWhenUsed/>
    <w:rsid w:val="001C457C"/>
    <w:pPr>
      <w:spacing w:before="100" w:beforeAutospacing="1" w:after="100" w:afterAutospacing="1" w:line="240" w:lineRule="auto"/>
    </w:pPr>
    <w:rPr>
      <w:rFonts w:ascii="Times New Roman" w:eastAsia="Times New Roman" w:hAnsi="Times New Roman" w:cs="Times New Roman"/>
      <w:szCs w:val="24"/>
      <w:lang w:val="en-US" w:eastAsia="en-US"/>
    </w:rPr>
  </w:style>
  <w:style w:type="paragraph" w:customStyle="1" w:styleId="CM-title">
    <w:name w:val="CM-title"/>
    <w:basedOn w:val="Normln"/>
    <w:next w:val="Normln"/>
    <w:rsid w:val="00FB670F"/>
    <w:pPr>
      <w:suppressAutoHyphens/>
      <w:spacing w:before="240" w:after="120" w:line="259" w:lineRule="auto"/>
      <w:jc w:val="center"/>
    </w:pPr>
    <w:rPr>
      <w:rFonts w:eastAsiaTheme="minorHAnsi"/>
      <w:b/>
      <w:smallCaps/>
      <w:sz w:val="44"/>
      <w:lang w:val="en-US" w:eastAsia="en-US"/>
    </w:rPr>
  </w:style>
  <w:style w:type="paragraph" w:customStyle="1" w:styleId="CM-conference">
    <w:name w:val="CM-conference"/>
    <w:basedOn w:val="Normln"/>
    <w:next w:val="CM-title"/>
    <w:qFormat/>
    <w:rsid w:val="00FB670F"/>
    <w:pPr>
      <w:spacing w:before="240" w:after="240" w:line="259" w:lineRule="auto"/>
      <w:jc w:val="center"/>
    </w:pPr>
    <w:rPr>
      <w:rFonts w:eastAsiaTheme="minorHAnsi"/>
      <w:sz w:val="28"/>
      <w:lang w:val="en-US" w:eastAsia="en-US"/>
    </w:rPr>
  </w:style>
  <w:style w:type="paragraph" w:customStyle="1" w:styleId="CM-author">
    <w:name w:val="CM-author"/>
    <w:basedOn w:val="CM-conference"/>
    <w:qFormat/>
    <w:rsid w:val="00FB670F"/>
    <w:pPr>
      <w:spacing w:before="120"/>
    </w:pPr>
  </w:style>
  <w:style w:type="paragraph" w:customStyle="1" w:styleId="CM-keywordsheading">
    <w:name w:val="CM-keywords_heading"/>
    <w:basedOn w:val="Normln"/>
    <w:qFormat/>
    <w:rsid w:val="00FB670F"/>
    <w:pPr>
      <w:keepNext/>
      <w:keepLines/>
      <w:spacing w:before="180" w:after="120"/>
      <w:outlineLvl w:val="1"/>
    </w:pPr>
    <w:rPr>
      <w:rFonts w:ascii="Calibri" w:eastAsiaTheme="majorEastAsia" w:hAnsi="Calibri" w:cstheme="majorBidi"/>
      <w:b/>
      <w:szCs w:val="26"/>
      <w:lang w:val="en-US"/>
    </w:rPr>
  </w:style>
  <w:style w:type="paragraph" w:customStyle="1" w:styleId="CM-authoraffiliation">
    <w:name w:val="CM-author_affiliation"/>
    <w:basedOn w:val="CM-author"/>
    <w:qFormat/>
    <w:rsid w:val="00FB670F"/>
    <w:pPr>
      <w:contextualSpacing/>
    </w:pPr>
    <w:rPr>
      <w:i/>
      <w:sz w:val="22"/>
    </w:rPr>
  </w:style>
  <w:style w:type="paragraph" w:customStyle="1" w:styleId="CM-referencesheading">
    <w:name w:val="CM-references_heading"/>
    <w:basedOn w:val="Normln"/>
    <w:next w:val="Normln"/>
    <w:qFormat/>
    <w:rsid w:val="00FB670F"/>
    <w:pPr>
      <w:keepNext/>
      <w:keepLines/>
      <w:spacing w:before="240" w:after="120"/>
      <w:outlineLvl w:val="0"/>
    </w:pPr>
    <w:rPr>
      <w:rFonts w:ascii="Calibri" w:eastAsiaTheme="majorEastAsia" w:hAnsi="Calibri" w:cstheme="majorBidi"/>
      <w:b/>
      <w:sz w:val="32"/>
      <w:szCs w:val="32"/>
      <w:lang w:val="en-US"/>
    </w:rPr>
  </w:style>
  <w:style w:type="paragraph" w:styleId="Zhlav">
    <w:name w:val="header"/>
    <w:basedOn w:val="Normln"/>
    <w:link w:val="ZhlavChar"/>
    <w:uiPriority w:val="99"/>
    <w:unhideWhenUsed/>
    <w:rsid w:val="001F4EC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1F4EC9"/>
    <w:rPr>
      <w:sz w:val="24"/>
    </w:rPr>
  </w:style>
  <w:style w:type="paragraph" w:styleId="Zpat">
    <w:name w:val="footer"/>
    <w:basedOn w:val="Normln"/>
    <w:link w:val="ZpatChar"/>
    <w:uiPriority w:val="99"/>
    <w:unhideWhenUsed/>
    <w:rsid w:val="001F4EC9"/>
    <w:pPr>
      <w:tabs>
        <w:tab w:val="center" w:pos="4703"/>
        <w:tab w:val="right" w:pos="9406"/>
      </w:tabs>
      <w:spacing w:after="0" w:line="240" w:lineRule="auto"/>
    </w:pPr>
  </w:style>
  <w:style w:type="character" w:customStyle="1" w:styleId="ZpatChar">
    <w:name w:val="Zápatí Char"/>
    <w:basedOn w:val="Standardnpsmoodstavce"/>
    <w:link w:val="Zpat"/>
    <w:uiPriority w:val="99"/>
    <w:rsid w:val="001F4EC9"/>
    <w:rPr>
      <w:sz w:val="24"/>
    </w:rPr>
  </w:style>
  <w:style w:type="character" w:customStyle="1" w:styleId="Nadpis2Char">
    <w:name w:val="Nadpis 2 Char"/>
    <w:basedOn w:val="Standardnpsmoodstavce"/>
    <w:link w:val="Nadpis2"/>
    <w:uiPriority w:val="9"/>
    <w:rsid w:val="00773A88"/>
    <w:rPr>
      <w:rFonts w:ascii="Times New Roman" w:eastAsia="Times New Roman" w:hAnsi="Times New Roman" w:cs="Times New Roman"/>
      <w:b/>
      <w:bCs/>
      <w:sz w:val="36"/>
      <w:szCs w:val="36"/>
      <w:lang w:val="en-US" w:eastAsia="en-US"/>
    </w:rPr>
  </w:style>
  <w:style w:type="character" w:customStyle="1" w:styleId="Nadpis1Char">
    <w:name w:val="Nadpis 1 Char"/>
    <w:basedOn w:val="Standardnpsmoodstavce"/>
    <w:link w:val="Nadpis1"/>
    <w:rsid w:val="006744FF"/>
    <w:rPr>
      <w:rFonts w:asciiTheme="majorHAnsi" w:eastAsiaTheme="majorEastAsia" w:hAnsiTheme="majorHAnsi" w:cstheme="majorBidi"/>
      <w:color w:val="365F91" w:themeColor="accent1" w:themeShade="BF"/>
      <w:sz w:val="32"/>
      <w:szCs w:val="32"/>
    </w:rPr>
  </w:style>
  <w:style w:type="character" w:customStyle="1" w:styleId="bookmetatitles">
    <w:name w:val="bookmetatitles"/>
    <w:basedOn w:val="Standardnpsmoodstavce"/>
    <w:rsid w:val="00FB4E3F"/>
  </w:style>
  <w:style w:type="character" w:customStyle="1" w:styleId="UnresolvedMention">
    <w:name w:val="Unresolved Mention"/>
    <w:basedOn w:val="Standardnpsmoodstavce"/>
    <w:uiPriority w:val="99"/>
    <w:semiHidden/>
    <w:unhideWhenUsed/>
    <w:rsid w:val="00E33A33"/>
    <w:rPr>
      <w:color w:val="605E5C"/>
      <w:shd w:val="clear" w:color="auto" w:fill="E1DFDD"/>
    </w:rPr>
  </w:style>
  <w:style w:type="paragraph" w:customStyle="1" w:styleId="CM-body">
    <w:name w:val="CM-body"/>
    <w:qFormat/>
    <w:rsid w:val="00870C40"/>
    <w:pPr>
      <w:spacing w:after="60" w:line="259" w:lineRule="auto"/>
      <w:ind w:firstLine="227"/>
      <w:jc w:val="both"/>
    </w:pPr>
    <w:rPr>
      <w:rFonts w:eastAsiaTheme="minorHAnsi"/>
      <w:lang w:val="en-US" w:eastAsia="en-US"/>
    </w:rPr>
  </w:style>
  <w:style w:type="paragraph" w:customStyle="1" w:styleId="CM-abstractbody">
    <w:name w:val="CM-abstract_body"/>
    <w:basedOn w:val="CM-body"/>
    <w:qFormat/>
    <w:rsid w:val="00870C40"/>
    <w:pPr>
      <w:ind w:firstLine="0"/>
      <w:contextualSpacing/>
    </w:pPr>
  </w:style>
  <w:style w:type="paragraph" w:customStyle="1" w:styleId="CM-keywords">
    <w:name w:val="CM-keywords"/>
    <w:basedOn w:val="CM-body"/>
    <w:qFormat/>
    <w:rsid w:val="00870C40"/>
    <w:pPr>
      <w:ind w:firstLine="0"/>
    </w:pPr>
  </w:style>
  <w:style w:type="paragraph" w:customStyle="1" w:styleId="CM-heading1">
    <w:name w:val="CM-heading_1"/>
    <w:basedOn w:val="Nadpis1"/>
    <w:next w:val="CM-body"/>
    <w:qFormat/>
    <w:rsid w:val="00870C40"/>
    <w:pPr>
      <w:spacing w:after="120" w:line="259" w:lineRule="auto"/>
    </w:pPr>
    <w:rPr>
      <w:rFonts w:ascii="Calibri" w:hAnsi="Calibri"/>
      <w:b/>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5247">
      <w:bodyDiv w:val="1"/>
      <w:marLeft w:val="0"/>
      <w:marRight w:val="0"/>
      <w:marTop w:val="0"/>
      <w:marBottom w:val="0"/>
      <w:divBdr>
        <w:top w:val="none" w:sz="0" w:space="0" w:color="auto"/>
        <w:left w:val="none" w:sz="0" w:space="0" w:color="auto"/>
        <w:bottom w:val="none" w:sz="0" w:space="0" w:color="auto"/>
        <w:right w:val="none" w:sz="0" w:space="0" w:color="auto"/>
      </w:divBdr>
    </w:div>
    <w:div w:id="97024917">
      <w:bodyDiv w:val="1"/>
      <w:marLeft w:val="0"/>
      <w:marRight w:val="0"/>
      <w:marTop w:val="0"/>
      <w:marBottom w:val="0"/>
      <w:divBdr>
        <w:top w:val="none" w:sz="0" w:space="0" w:color="auto"/>
        <w:left w:val="none" w:sz="0" w:space="0" w:color="auto"/>
        <w:bottom w:val="none" w:sz="0" w:space="0" w:color="auto"/>
        <w:right w:val="none" w:sz="0" w:space="0" w:color="auto"/>
      </w:divBdr>
    </w:div>
    <w:div w:id="108552285">
      <w:bodyDiv w:val="1"/>
      <w:marLeft w:val="0"/>
      <w:marRight w:val="0"/>
      <w:marTop w:val="0"/>
      <w:marBottom w:val="0"/>
      <w:divBdr>
        <w:top w:val="none" w:sz="0" w:space="0" w:color="auto"/>
        <w:left w:val="none" w:sz="0" w:space="0" w:color="auto"/>
        <w:bottom w:val="none" w:sz="0" w:space="0" w:color="auto"/>
        <w:right w:val="none" w:sz="0" w:space="0" w:color="auto"/>
      </w:divBdr>
    </w:div>
    <w:div w:id="219558618">
      <w:bodyDiv w:val="1"/>
      <w:marLeft w:val="0"/>
      <w:marRight w:val="0"/>
      <w:marTop w:val="0"/>
      <w:marBottom w:val="0"/>
      <w:divBdr>
        <w:top w:val="none" w:sz="0" w:space="0" w:color="auto"/>
        <w:left w:val="none" w:sz="0" w:space="0" w:color="auto"/>
        <w:bottom w:val="none" w:sz="0" w:space="0" w:color="auto"/>
        <w:right w:val="none" w:sz="0" w:space="0" w:color="auto"/>
      </w:divBdr>
    </w:div>
    <w:div w:id="257250399">
      <w:bodyDiv w:val="1"/>
      <w:marLeft w:val="0"/>
      <w:marRight w:val="0"/>
      <w:marTop w:val="0"/>
      <w:marBottom w:val="0"/>
      <w:divBdr>
        <w:top w:val="none" w:sz="0" w:space="0" w:color="auto"/>
        <w:left w:val="none" w:sz="0" w:space="0" w:color="auto"/>
        <w:bottom w:val="none" w:sz="0" w:space="0" w:color="auto"/>
        <w:right w:val="none" w:sz="0" w:space="0" w:color="auto"/>
      </w:divBdr>
    </w:div>
    <w:div w:id="537016075">
      <w:bodyDiv w:val="1"/>
      <w:marLeft w:val="0"/>
      <w:marRight w:val="0"/>
      <w:marTop w:val="0"/>
      <w:marBottom w:val="0"/>
      <w:divBdr>
        <w:top w:val="none" w:sz="0" w:space="0" w:color="auto"/>
        <w:left w:val="none" w:sz="0" w:space="0" w:color="auto"/>
        <w:bottom w:val="none" w:sz="0" w:space="0" w:color="auto"/>
        <w:right w:val="none" w:sz="0" w:space="0" w:color="auto"/>
      </w:divBdr>
    </w:div>
    <w:div w:id="548034641">
      <w:bodyDiv w:val="1"/>
      <w:marLeft w:val="0"/>
      <w:marRight w:val="0"/>
      <w:marTop w:val="0"/>
      <w:marBottom w:val="0"/>
      <w:divBdr>
        <w:top w:val="none" w:sz="0" w:space="0" w:color="auto"/>
        <w:left w:val="none" w:sz="0" w:space="0" w:color="auto"/>
        <w:bottom w:val="none" w:sz="0" w:space="0" w:color="auto"/>
        <w:right w:val="none" w:sz="0" w:space="0" w:color="auto"/>
      </w:divBdr>
    </w:div>
    <w:div w:id="824317067">
      <w:bodyDiv w:val="1"/>
      <w:marLeft w:val="0"/>
      <w:marRight w:val="0"/>
      <w:marTop w:val="0"/>
      <w:marBottom w:val="0"/>
      <w:divBdr>
        <w:top w:val="none" w:sz="0" w:space="0" w:color="auto"/>
        <w:left w:val="none" w:sz="0" w:space="0" w:color="auto"/>
        <w:bottom w:val="none" w:sz="0" w:space="0" w:color="auto"/>
        <w:right w:val="none" w:sz="0" w:space="0" w:color="auto"/>
      </w:divBdr>
    </w:div>
    <w:div w:id="1264151111">
      <w:bodyDiv w:val="1"/>
      <w:marLeft w:val="0"/>
      <w:marRight w:val="0"/>
      <w:marTop w:val="0"/>
      <w:marBottom w:val="0"/>
      <w:divBdr>
        <w:top w:val="none" w:sz="0" w:space="0" w:color="auto"/>
        <w:left w:val="none" w:sz="0" w:space="0" w:color="auto"/>
        <w:bottom w:val="none" w:sz="0" w:space="0" w:color="auto"/>
        <w:right w:val="none" w:sz="0" w:space="0" w:color="auto"/>
      </w:divBdr>
    </w:div>
    <w:div w:id="1286429358">
      <w:bodyDiv w:val="1"/>
      <w:marLeft w:val="0"/>
      <w:marRight w:val="0"/>
      <w:marTop w:val="0"/>
      <w:marBottom w:val="0"/>
      <w:divBdr>
        <w:top w:val="none" w:sz="0" w:space="0" w:color="auto"/>
        <w:left w:val="none" w:sz="0" w:space="0" w:color="auto"/>
        <w:bottom w:val="none" w:sz="0" w:space="0" w:color="auto"/>
        <w:right w:val="none" w:sz="0" w:space="0" w:color="auto"/>
      </w:divBdr>
    </w:div>
    <w:div w:id="1379356099">
      <w:bodyDiv w:val="1"/>
      <w:marLeft w:val="0"/>
      <w:marRight w:val="0"/>
      <w:marTop w:val="0"/>
      <w:marBottom w:val="0"/>
      <w:divBdr>
        <w:top w:val="none" w:sz="0" w:space="0" w:color="auto"/>
        <w:left w:val="none" w:sz="0" w:space="0" w:color="auto"/>
        <w:bottom w:val="none" w:sz="0" w:space="0" w:color="auto"/>
        <w:right w:val="none" w:sz="0" w:space="0" w:color="auto"/>
      </w:divBdr>
    </w:div>
    <w:div w:id="1397314224">
      <w:bodyDiv w:val="1"/>
      <w:marLeft w:val="0"/>
      <w:marRight w:val="0"/>
      <w:marTop w:val="0"/>
      <w:marBottom w:val="0"/>
      <w:divBdr>
        <w:top w:val="none" w:sz="0" w:space="0" w:color="auto"/>
        <w:left w:val="none" w:sz="0" w:space="0" w:color="auto"/>
        <w:bottom w:val="none" w:sz="0" w:space="0" w:color="auto"/>
        <w:right w:val="none" w:sz="0" w:space="0" w:color="auto"/>
      </w:divBdr>
      <w:divsChild>
        <w:div w:id="470178756">
          <w:marLeft w:val="0"/>
          <w:marRight w:val="0"/>
          <w:marTop w:val="0"/>
          <w:marBottom w:val="0"/>
          <w:divBdr>
            <w:top w:val="none" w:sz="0" w:space="0" w:color="auto"/>
            <w:left w:val="none" w:sz="0" w:space="0" w:color="auto"/>
            <w:bottom w:val="none" w:sz="0" w:space="0" w:color="auto"/>
            <w:right w:val="none" w:sz="0" w:space="0" w:color="auto"/>
          </w:divBdr>
          <w:divsChild>
            <w:div w:id="1528561935">
              <w:marLeft w:val="0"/>
              <w:marRight w:val="60"/>
              <w:marTop w:val="0"/>
              <w:marBottom w:val="0"/>
              <w:divBdr>
                <w:top w:val="none" w:sz="0" w:space="0" w:color="auto"/>
                <w:left w:val="none" w:sz="0" w:space="0" w:color="auto"/>
                <w:bottom w:val="none" w:sz="0" w:space="0" w:color="auto"/>
                <w:right w:val="none" w:sz="0" w:space="0" w:color="auto"/>
              </w:divBdr>
              <w:divsChild>
                <w:div w:id="66729586">
                  <w:marLeft w:val="0"/>
                  <w:marRight w:val="0"/>
                  <w:marTop w:val="0"/>
                  <w:marBottom w:val="120"/>
                  <w:divBdr>
                    <w:top w:val="single" w:sz="6" w:space="0" w:color="A0A0A0"/>
                    <w:left w:val="single" w:sz="6" w:space="0" w:color="B9B9B9"/>
                    <w:bottom w:val="single" w:sz="6" w:space="0" w:color="B9B9B9"/>
                    <w:right w:val="single" w:sz="6" w:space="0" w:color="B9B9B9"/>
                  </w:divBdr>
                  <w:divsChild>
                    <w:div w:id="33818456">
                      <w:marLeft w:val="0"/>
                      <w:marRight w:val="0"/>
                      <w:marTop w:val="0"/>
                      <w:marBottom w:val="0"/>
                      <w:divBdr>
                        <w:top w:val="none" w:sz="0" w:space="0" w:color="auto"/>
                        <w:left w:val="none" w:sz="0" w:space="0" w:color="auto"/>
                        <w:bottom w:val="none" w:sz="0" w:space="0" w:color="auto"/>
                        <w:right w:val="none" w:sz="0" w:space="0" w:color="auto"/>
                      </w:divBdr>
                    </w:div>
                    <w:div w:id="1051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3405">
          <w:marLeft w:val="0"/>
          <w:marRight w:val="0"/>
          <w:marTop w:val="0"/>
          <w:marBottom w:val="0"/>
          <w:divBdr>
            <w:top w:val="none" w:sz="0" w:space="0" w:color="auto"/>
            <w:left w:val="none" w:sz="0" w:space="0" w:color="auto"/>
            <w:bottom w:val="none" w:sz="0" w:space="0" w:color="auto"/>
            <w:right w:val="none" w:sz="0" w:space="0" w:color="auto"/>
          </w:divBdr>
          <w:divsChild>
            <w:div w:id="135417287">
              <w:marLeft w:val="60"/>
              <w:marRight w:val="0"/>
              <w:marTop w:val="0"/>
              <w:marBottom w:val="0"/>
              <w:divBdr>
                <w:top w:val="none" w:sz="0" w:space="0" w:color="auto"/>
                <w:left w:val="none" w:sz="0" w:space="0" w:color="auto"/>
                <w:bottom w:val="none" w:sz="0" w:space="0" w:color="auto"/>
                <w:right w:val="none" w:sz="0" w:space="0" w:color="auto"/>
              </w:divBdr>
              <w:divsChild>
                <w:div w:id="532302216">
                  <w:marLeft w:val="0"/>
                  <w:marRight w:val="0"/>
                  <w:marTop w:val="0"/>
                  <w:marBottom w:val="0"/>
                  <w:divBdr>
                    <w:top w:val="none" w:sz="0" w:space="0" w:color="auto"/>
                    <w:left w:val="none" w:sz="0" w:space="0" w:color="auto"/>
                    <w:bottom w:val="none" w:sz="0" w:space="0" w:color="auto"/>
                    <w:right w:val="none" w:sz="0" w:space="0" w:color="auto"/>
                  </w:divBdr>
                  <w:divsChild>
                    <w:div w:id="375744483">
                      <w:marLeft w:val="0"/>
                      <w:marRight w:val="0"/>
                      <w:marTop w:val="0"/>
                      <w:marBottom w:val="120"/>
                      <w:divBdr>
                        <w:top w:val="single" w:sz="6" w:space="0" w:color="F5F5F5"/>
                        <w:left w:val="single" w:sz="6" w:space="0" w:color="F5F5F5"/>
                        <w:bottom w:val="single" w:sz="6" w:space="0" w:color="F5F5F5"/>
                        <w:right w:val="single" w:sz="6" w:space="0" w:color="F5F5F5"/>
                      </w:divBdr>
                      <w:divsChild>
                        <w:div w:id="1841433828">
                          <w:marLeft w:val="0"/>
                          <w:marRight w:val="0"/>
                          <w:marTop w:val="0"/>
                          <w:marBottom w:val="0"/>
                          <w:divBdr>
                            <w:top w:val="none" w:sz="0" w:space="0" w:color="auto"/>
                            <w:left w:val="none" w:sz="0" w:space="0" w:color="auto"/>
                            <w:bottom w:val="none" w:sz="0" w:space="0" w:color="auto"/>
                            <w:right w:val="none" w:sz="0" w:space="0" w:color="auto"/>
                          </w:divBdr>
                          <w:divsChild>
                            <w:div w:id="345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51654">
      <w:bodyDiv w:val="1"/>
      <w:marLeft w:val="0"/>
      <w:marRight w:val="0"/>
      <w:marTop w:val="0"/>
      <w:marBottom w:val="0"/>
      <w:divBdr>
        <w:top w:val="none" w:sz="0" w:space="0" w:color="auto"/>
        <w:left w:val="none" w:sz="0" w:space="0" w:color="auto"/>
        <w:bottom w:val="none" w:sz="0" w:space="0" w:color="auto"/>
        <w:right w:val="none" w:sz="0" w:space="0" w:color="auto"/>
      </w:divBdr>
    </w:div>
    <w:div w:id="16170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kova@fsv.cvut.cz"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Elbphilharmonie"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AD3156C048445AA5BD4ABA44CCDE9C"/>
        <w:category>
          <w:name w:val="Obecné"/>
          <w:gallery w:val="placeholder"/>
        </w:category>
        <w:types>
          <w:type w:val="bbPlcHdr"/>
        </w:types>
        <w:behaviors>
          <w:behavior w:val="content"/>
        </w:behaviors>
        <w:guid w:val="{1020FC98-00E1-4382-BA78-192FA8EF89A7}"/>
      </w:docPartPr>
      <w:docPartBody>
        <w:p w:rsidR="003C2F41" w:rsidRDefault="003F05AB" w:rsidP="003F05AB">
          <w:pPr>
            <w:pStyle w:val="29AD3156C048445AA5BD4ABA44CCDE9C"/>
          </w:pPr>
          <w:r w:rsidRPr="004F1572">
            <w:rPr>
              <w:rStyle w:val="Zstupntext"/>
            </w:rPr>
            <w:t>Klikněte sem a zadejte text.</w:t>
          </w:r>
        </w:p>
      </w:docPartBody>
    </w:docPart>
    <w:docPart>
      <w:docPartPr>
        <w:name w:val="74A4A0F697114F3C988EEE7D915A4EEC"/>
        <w:category>
          <w:name w:val="Obecné"/>
          <w:gallery w:val="placeholder"/>
        </w:category>
        <w:types>
          <w:type w:val="bbPlcHdr"/>
        </w:types>
        <w:behaviors>
          <w:behavior w:val="content"/>
        </w:behaviors>
        <w:guid w:val="{7B4CFE2C-6B15-4AB2-9D5C-4DB2CC68CA0D}"/>
      </w:docPartPr>
      <w:docPartBody>
        <w:p w:rsidR="003C2F41" w:rsidRDefault="003F05AB" w:rsidP="003F05AB">
          <w:pPr>
            <w:pStyle w:val="74A4A0F697114F3C988EEE7D915A4EEC"/>
          </w:pPr>
          <w:r w:rsidRPr="004F1572">
            <w:rPr>
              <w:rStyle w:val="Zstupntext"/>
            </w:rPr>
            <w:t>Klikněte sem a zadejte text.</w:t>
          </w:r>
        </w:p>
      </w:docPartBody>
    </w:docPart>
    <w:docPart>
      <w:docPartPr>
        <w:name w:val="62277A96786F4E4E8E72A207B7975574"/>
        <w:category>
          <w:name w:val="Obecné"/>
          <w:gallery w:val="placeholder"/>
        </w:category>
        <w:types>
          <w:type w:val="bbPlcHdr"/>
        </w:types>
        <w:behaviors>
          <w:behavior w:val="content"/>
        </w:behaviors>
        <w:guid w:val="{88B69551-F10D-4F2F-B656-3ECA800C4749}"/>
      </w:docPartPr>
      <w:docPartBody>
        <w:p w:rsidR="003C2F41" w:rsidRDefault="003F05AB" w:rsidP="003F05AB">
          <w:pPr>
            <w:pStyle w:val="62277A96786F4E4E8E72A207B7975574"/>
          </w:pPr>
          <w:r w:rsidRPr="004F157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AB"/>
    <w:rsid w:val="003C2F41"/>
    <w:rsid w:val="003F05AB"/>
    <w:rsid w:val="00DC2D9F"/>
    <w:rsid w:val="00DE3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F05AB"/>
    <w:rPr>
      <w:color w:val="808080"/>
    </w:rPr>
  </w:style>
  <w:style w:type="paragraph" w:customStyle="1" w:styleId="29AD3156C048445AA5BD4ABA44CCDE9C">
    <w:name w:val="29AD3156C048445AA5BD4ABA44CCDE9C"/>
    <w:rsid w:val="003F05AB"/>
  </w:style>
  <w:style w:type="paragraph" w:customStyle="1" w:styleId="74A4A0F697114F3C988EEE7D915A4EEC">
    <w:name w:val="74A4A0F697114F3C988EEE7D915A4EEC"/>
    <w:rsid w:val="003F05AB"/>
  </w:style>
  <w:style w:type="paragraph" w:customStyle="1" w:styleId="62277A96786F4E4E8E72A207B7975574">
    <w:name w:val="62277A96786F4E4E8E72A207B7975574"/>
    <w:rsid w:val="003F0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AA64B-AC04-4E88-BAD0-8AEAC78F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11015</Characters>
  <Application>Microsoft Office Word</Application>
  <DocSecurity>0</DocSecurity>
  <Lines>91</Lines>
  <Paragraphs>25</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
      <vt:lpstr/>
      <vt:lpstr>Abstract</vt:lpstr>
      <vt:lpstr>    Keywords</vt:lpstr>
      <vt:lpstr>Introduction</vt:lpstr>
      <vt:lpstr>Methodology</vt:lpstr>
      <vt:lpstr>Results</vt:lpstr>
    </vt:vector>
  </TitlesOfParts>
  <Company>Univerzita Karlova v Praze</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dc:creator>
  <cp:lastModifiedBy>Stuchlík</cp:lastModifiedBy>
  <cp:revision>3</cp:revision>
  <dcterms:created xsi:type="dcterms:W3CDTF">2018-11-18T16:27:00Z</dcterms:created>
  <dcterms:modified xsi:type="dcterms:W3CDTF">2018-11-18T16:29:00Z</dcterms:modified>
</cp:coreProperties>
</file>