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Default="0046473D" w:rsidP="004A69CB">
      <w:pPr>
        <w:pStyle w:val="CM-conference"/>
      </w:pPr>
      <w:bookmarkStart w:id="0" w:name="_GoBack"/>
      <w:bookmarkEnd w:id="0"/>
      <w:r>
        <w:t>Construc</w:t>
      </w:r>
      <w:r w:rsidR="00722CAD">
        <w:t>tion Maeconomics Conference 2015</w:t>
      </w:r>
    </w:p>
    <w:p w:rsidR="00CE4B7E" w:rsidRDefault="0093233E" w:rsidP="00CE4B7E">
      <w:pPr>
        <w:pStyle w:val="CM-title"/>
      </w:pPr>
      <w:r w:rsidRPr="00612E90">
        <w:t xml:space="preserve">Financial </w:t>
      </w:r>
      <w:r w:rsidR="00260826">
        <w:t>Health</w:t>
      </w:r>
      <w:r w:rsidRPr="00612E90">
        <w:t xml:space="preserve"> Of </w:t>
      </w:r>
      <w:r w:rsidR="00260826">
        <w:t xml:space="preserve">Original </w:t>
      </w:r>
      <w:r w:rsidRPr="00612E90">
        <w:t xml:space="preserve">Company </w:t>
      </w:r>
      <w:r>
        <w:t xml:space="preserve">Year After </w:t>
      </w:r>
      <w:r w:rsidRPr="00612E90">
        <w:t xml:space="preserve">Splitting Real Estate Property From Construction Company </w:t>
      </w:r>
    </w:p>
    <w:p w:rsidR="0093233E" w:rsidRDefault="0093233E" w:rsidP="0093233E">
      <w:pPr>
        <w:pStyle w:val="CM-author"/>
      </w:pPr>
      <w:r>
        <w:t>Olga Heralová</w:t>
      </w:r>
      <w:r>
        <w:rPr>
          <w:vertAlign w:val="superscript"/>
        </w:rPr>
        <w:t>1</w:t>
      </w:r>
    </w:p>
    <w:p w:rsidR="0093233E" w:rsidRDefault="0093233E" w:rsidP="0093233E">
      <w:pPr>
        <w:pStyle w:val="CM-authoraffiliation"/>
      </w:pPr>
      <w:r w:rsidRPr="00400E79">
        <w:rPr>
          <w:vertAlign w:val="superscript"/>
        </w:rPr>
        <w:t>1</w:t>
      </w:r>
      <w:r>
        <w:t>VUT v Brně,Fakulta stavební, Ústav stavební ekonomiky a řízení, Veveří 331/95, Brno, 602 00, The Czech Rep., olga.heralova@gmail.com</w:t>
      </w:r>
    </w:p>
    <w:p w:rsidR="0093233E" w:rsidRDefault="0093233E" w:rsidP="00400E79">
      <w:pPr>
        <w:pStyle w:val="CM-authoraffiliation"/>
      </w:pPr>
    </w:p>
    <w:p w:rsidR="00D4314D" w:rsidRDefault="00C90DDD" w:rsidP="00674E5C">
      <w:pPr>
        <w:pStyle w:val="CM-referencesheading"/>
      </w:pPr>
      <w:r w:rsidRPr="00201560">
        <w:t>Abstract</w:t>
      </w:r>
    </w:p>
    <w:p w:rsidR="00CE4B7E" w:rsidRPr="00201560" w:rsidRDefault="00106465" w:rsidP="00D302F4">
      <w:pPr>
        <w:pStyle w:val="CM-abstractbody"/>
      </w:pPr>
      <w:r w:rsidRPr="00306870">
        <w:t xml:space="preserve">Intention of the paper is </w:t>
      </w:r>
      <w:r>
        <w:t>to verify that</w:t>
      </w:r>
      <w:r w:rsidRPr="00306870">
        <w:t xml:space="preserve"> the real estate assets transfer </w:t>
      </w:r>
      <w:r>
        <w:t>did not negatively influence</w:t>
      </w:r>
      <w:r w:rsidRPr="00306870">
        <w:t xml:space="preserve"> financial </w:t>
      </w:r>
      <w:r>
        <w:t>health</w:t>
      </w:r>
      <w:r w:rsidRPr="00306870">
        <w:t xml:space="preserve"> of the original </w:t>
      </w:r>
      <w:r w:rsidR="00260826">
        <w:t xml:space="preserve">construction </w:t>
      </w:r>
      <w:r w:rsidRPr="00306870">
        <w:t xml:space="preserve">company. </w:t>
      </w:r>
      <w:r>
        <w:t>I</w:t>
      </w:r>
      <w:r w:rsidRPr="00306870">
        <w:t xml:space="preserve">nfluence of company splitting (transfer of real estate assets) </w:t>
      </w:r>
      <w:r w:rsidR="00260826">
        <w:t>to</w:t>
      </w:r>
      <w:r w:rsidRPr="00306870">
        <w:t xml:space="preserve"> financial </w:t>
      </w:r>
      <w:r w:rsidR="000A349B">
        <w:t>health</w:t>
      </w:r>
      <w:r w:rsidRPr="00306870">
        <w:t xml:space="preserve"> of the original company </w:t>
      </w:r>
      <w:r w:rsidR="000A349B">
        <w:t xml:space="preserve">is tested </w:t>
      </w:r>
      <w:r w:rsidRPr="00306870">
        <w:t xml:space="preserve">with </w:t>
      </w:r>
      <w:r w:rsidR="000A349B">
        <w:t xml:space="preserve">the </w:t>
      </w:r>
      <w:r w:rsidRPr="00306870">
        <w:t>us</w:t>
      </w:r>
      <w:r>
        <w:t>age of Altman</w:t>
      </w:r>
      <w:r w:rsidR="00260826">
        <w:t>´s</w:t>
      </w:r>
      <w:r>
        <w:t xml:space="preserve"> and IN05 indexes.</w:t>
      </w:r>
      <w:r w:rsidR="000A349B">
        <w:t xml:space="preserve"> </w:t>
      </w:r>
      <w:r>
        <w:t xml:space="preserve">Verification is realized 1 year after splitting. </w:t>
      </w:r>
      <w:r w:rsidRPr="00306870">
        <w:t xml:space="preserve">Both indicators </w:t>
      </w:r>
      <w:r>
        <w:t>give</w:t>
      </w:r>
      <w:r w:rsidRPr="00306870">
        <w:t xml:space="preserve"> similar</w:t>
      </w:r>
      <w:r>
        <w:t xml:space="preserve"> results</w:t>
      </w:r>
      <w:r w:rsidRPr="00306870">
        <w:t xml:space="preserve">. </w:t>
      </w:r>
      <w:r>
        <w:t xml:space="preserve">From the calculation is visible </w:t>
      </w:r>
      <w:r w:rsidR="000A349B">
        <w:t xml:space="preserve">that real estate transfer did not cause negative influence. </w:t>
      </w:r>
      <w:r w:rsidR="00AF1D81">
        <w:t>The fact, that the real estate assets are not needed for core business of the original company, is probably one of the reasons.</w:t>
      </w:r>
    </w:p>
    <w:p w:rsidR="0046473D" w:rsidRDefault="00C90DDD" w:rsidP="00201560">
      <w:pPr>
        <w:pStyle w:val="CM-keywordsheading"/>
      </w:pPr>
      <w:r w:rsidRPr="00201560">
        <w:t>Key</w:t>
      </w:r>
      <w:r w:rsidR="0046473D" w:rsidRPr="00201560">
        <w:t>words</w:t>
      </w:r>
    </w:p>
    <w:p w:rsidR="00C90DDD" w:rsidRDefault="000A349B" w:rsidP="00C90DDD">
      <w:pPr>
        <w:pStyle w:val="CM-keywords"/>
      </w:pPr>
      <w:r>
        <w:t>bankruptcy models; financial health; summary indexes</w:t>
      </w:r>
    </w:p>
    <w:p w:rsidR="00201560" w:rsidRDefault="00201560" w:rsidP="00B92437">
      <w:pPr>
        <w:pStyle w:val="CM-body"/>
        <w:rPr>
          <w:rFonts w:ascii="Calibri" w:eastAsiaTheme="majorEastAsia" w:hAnsi="Calibri" w:cstheme="majorBidi"/>
          <w:sz w:val="32"/>
          <w:szCs w:val="32"/>
        </w:rPr>
      </w:pPr>
      <w:r>
        <w:br w:type="page"/>
      </w:r>
    </w:p>
    <w:p w:rsidR="005531C2" w:rsidRDefault="005531C2" w:rsidP="005531C2">
      <w:pPr>
        <w:pStyle w:val="CM-heading2"/>
      </w:pPr>
      <w:r>
        <w:lastRenderedPageBreak/>
        <w:t>Introduction</w:t>
      </w:r>
      <w:r w:rsidR="00B13510">
        <w:t xml:space="preserve"> details</w:t>
      </w:r>
    </w:p>
    <w:p w:rsidR="007538CF" w:rsidRDefault="007538CF" w:rsidP="007538CF">
      <w:pPr>
        <w:pStyle w:val="CM-body"/>
      </w:pPr>
      <w:r>
        <w:t>Intention of this paper is to verify one year after, that splitting real estate property from Construction Company did not negatively influence financial health of the original construction company.</w:t>
      </w:r>
    </w:p>
    <w:p w:rsidR="000439E9" w:rsidRDefault="000439E9" w:rsidP="007538CF">
      <w:pPr>
        <w:pStyle w:val="CM-body"/>
      </w:pPr>
    </w:p>
    <w:p w:rsidR="005531C2" w:rsidRDefault="005531C2" w:rsidP="005531C2">
      <w:pPr>
        <w:pStyle w:val="CM-heading2"/>
      </w:pPr>
      <w:r>
        <w:t>Methodology</w:t>
      </w:r>
      <w:r w:rsidR="00B13510">
        <w:t xml:space="preserve"> details</w:t>
      </w:r>
    </w:p>
    <w:p w:rsidR="000439E9" w:rsidRPr="000439E9" w:rsidRDefault="000439E9" w:rsidP="000439E9">
      <w:pPr>
        <w:pStyle w:val="CM-body"/>
        <w:rPr>
          <w:lang w:eastAsia="cs-CZ"/>
        </w:rPr>
      </w:pPr>
    </w:p>
    <w:p w:rsidR="00674ABB" w:rsidRPr="00AF1D81" w:rsidRDefault="00AF1D81" w:rsidP="00AF1D81">
      <w:pPr>
        <w:pStyle w:val="CM-body"/>
        <w:rPr>
          <w:color w:val="000000" w:themeColor="text1"/>
        </w:rPr>
      </w:pPr>
      <w:r w:rsidRPr="00AF1D81">
        <w:rPr>
          <w:color w:val="000000" w:themeColor="text1"/>
        </w:rPr>
        <w:t xml:space="preserve">Financial health of the company is measure by indicators (indexes). </w:t>
      </w:r>
      <w:r w:rsidR="00674ABB" w:rsidRPr="00AF1D81">
        <w:rPr>
          <w:color w:val="000000" w:themeColor="text1"/>
        </w:rPr>
        <w:t xml:space="preserve">Summary Indexes </w:t>
      </w:r>
      <w:r w:rsidRPr="00AF1D81">
        <w:rPr>
          <w:color w:val="000000" w:themeColor="text1"/>
        </w:rPr>
        <w:t xml:space="preserve">are </w:t>
      </w:r>
      <w:r w:rsidR="00674ABB" w:rsidRPr="00AF1D81">
        <w:rPr>
          <w:color w:val="000000" w:themeColor="text1"/>
        </w:rPr>
        <w:t xml:space="preserve">suitable for </w:t>
      </w:r>
      <w:r w:rsidRPr="00AF1D81">
        <w:rPr>
          <w:color w:val="000000" w:themeColor="text1"/>
        </w:rPr>
        <w:t>due to fact, that they involve several aspects in one index. These indexes are often called bankruptcy indexes.</w:t>
      </w:r>
    </w:p>
    <w:p w:rsidR="007538CF" w:rsidRPr="00E71503" w:rsidRDefault="00674ABB" w:rsidP="007538CF">
      <w:pPr>
        <w:pStyle w:val="CM-body"/>
      </w:pPr>
      <w:r>
        <w:t xml:space="preserve">Summary </w:t>
      </w:r>
      <w:r w:rsidR="007538CF">
        <w:t xml:space="preserve">Indexes are calculated from the data extracted from Financial Statements (Balance Sheet, Profit and Loss Account, and Statement of CF). </w:t>
      </w:r>
      <w:r w:rsidR="00AF1D81">
        <w:t>Indexes c</w:t>
      </w:r>
      <w:r w:rsidR="007538CF">
        <w:t xml:space="preserve">hosen </w:t>
      </w:r>
      <w:r w:rsidR="00AF1D81">
        <w:t xml:space="preserve">in this paper </w:t>
      </w:r>
      <w:r w:rsidR="007538CF">
        <w:t xml:space="preserve">speak </w:t>
      </w:r>
      <w:r w:rsidR="00820804">
        <w:t xml:space="preserve">mainly </w:t>
      </w:r>
      <w:r w:rsidR="007538CF">
        <w:t xml:space="preserve">about profitability, liquidity and capital structure. </w:t>
      </w:r>
    </w:p>
    <w:p w:rsidR="007538CF" w:rsidRDefault="007538CF" w:rsidP="007538CF">
      <w:pPr>
        <w:pStyle w:val="CM-body"/>
      </w:pPr>
      <w:r>
        <w:t xml:space="preserve">Altman´s index and </w:t>
      </w:r>
      <w:r w:rsidR="00AF1D81">
        <w:t xml:space="preserve">index </w:t>
      </w:r>
      <w:r>
        <w:t xml:space="preserve">IN05 </w:t>
      </w:r>
      <w:r w:rsidR="00674ABB">
        <w:t>were used</w:t>
      </w:r>
      <w:r>
        <w:t xml:space="preserve"> due to fact that splitting affect</w:t>
      </w:r>
      <w:r w:rsidR="00674ABB">
        <w:t>ed</w:t>
      </w:r>
      <w:r>
        <w:t xml:space="preserve"> significant part of the Balance Sheet (outflow of significant part of fixed assets and retained earnings from previous periods).</w:t>
      </w:r>
    </w:p>
    <w:p w:rsidR="000439E9" w:rsidRDefault="000439E9" w:rsidP="007538CF">
      <w:pPr>
        <w:rPr>
          <w:rFonts w:eastAsiaTheme="minorHAnsi"/>
          <w:i/>
          <w:lang w:val="en-US" w:eastAsia="en-US"/>
        </w:rPr>
      </w:pPr>
    </w:p>
    <w:p w:rsidR="007538CF" w:rsidRPr="00B776C5" w:rsidRDefault="007538CF" w:rsidP="007538CF">
      <w:pPr>
        <w:rPr>
          <w:rFonts w:eastAsiaTheme="minorHAnsi"/>
          <w:i/>
          <w:lang w:val="en-US" w:eastAsia="en-US"/>
        </w:rPr>
      </w:pPr>
      <w:r>
        <w:rPr>
          <w:rFonts w:eastAsiaTheme="minorHAnsi"/>
          <w:i/>
          <w:lang w:val="en-US" w:eastAsia="en-US"/>
        </w:rPr>
        <w:t>Altman´s analysis</w:t>
      </w:r>
    </w:p>
    <w:p w:rsidR="007538CF" w:rsidRPr="003921E9" w:rsidRDefault="007538CF" w:rsidP="007538CF">
      <w:pPr>
        <w:pStyle w:val="CM-body"/>
        <w:rPr>
          <w:lang w:val="cs-CZ"/>
        </w:rPr>
      </w:pPr>
      <w:r>
        <w:t xml:space="preserve">Altman´s analysis </w:t>
      </w:r>
      <w:r w:rsidR="00AC2C91">
        <w:t xml:space="preserve">works with </w:t>
      </w:r>
      <w:r>
        <w:t>summary index</w:t>
      </w:r>
      <w:r w:rsidR="00AC2C91">
        <w:t xml:space="preserve"> </w:t>
      </w:r>
      <w:r w:rsidR="00FE37B4">
        <w:t xml:space="preserve">called </w:t>
      </w:r>
      <w:r w:rsidR="00AC2C91">
        <w:t>Z-score.</w:t>
      </w:r>
      <w:r w:rsidR="00AC5512">
        <w:t xml:space="preserve"> </w:t>
      </w:r>
      <w:r>
        <w:t>Z-score is consisted from 5 indexes from the field of profitability, liquidity and capital structure (debt inclusive). Each sub-index received weight based on empiric research [4].</w:t>
      </w:r>
    </w:p>
    <w:p w:rsidR="007538CF" w:rsidRPr="00E71503" w:rsidRDefault="007538CF" w:rsidP="007538CF">
      <w:pPr>
        <w:pStyle w:val="CM-body"/>
      </w:pPr>
      <w:r>
        <w:t xml:space="preserve">Usage of Altman´s analysis brought her improvement (one of the improvements is in differentiation between companies traded on capital market and not traded). Variant applicable for company staying outside the capital market is used in this paper. </w:t>
      </w:r>
    </w:p>
    <w:p w:rsidR="007538CF" w:rsidRPr="00E71503" w:rsidRDefault="007538CF" w:rsidP="007538CF">
      <w:pPr>
        <w:pStyle w:val="CM-body"/>
      </w:pPr>
      <w:r>
        <w:t>Version of this model from 1983 is applicable for Czech environment.</w:t>
      </w:r>
    </w:p>
    <w:p w:rsidR="007538CF" w:rsidRPr="00C909FD" w:rsidRDefault="007538CF" w:rsidP="007538CF">
      <w:pPr>
        <w:pStyle w:val="CM-body"/>
      </w:pPr>
      <w:r w:rsidRPr="00C909FD">
        <w:t>Z</w:t>
      </w:r>
      <w:r>
        <w:t>-</w:t>
      </w:r>
      <w:r w:rsidRPr="00C909FD">
        <w:t xml:space="preserve">score </w:t>
      </w:r>
      <w:r>
        <w:t>formula is below [2]:</w:t>
      </w:r>
    </w:p>
    <w:p w:rsidR="007538CF" w:rsidRPr="00C909FD" w:rsidRDefault="007538CF" w:rsidP="007538CF">
      <w:pPr>
        <w:rPr>
          <w:rFonts w:ascii="Arial" w:hAnsi="Arial" w:cs="Arial"/>
        </w:rPr>
      </w:pPr>
      <m:oMath>
        <m:r>
          <w:rPr>
            <w:rFonts w:ascii="Cambria Math" w:hAnsi="Cambria Math"/>
          </w:rPr>
          <m:t>Z=</m:t>
        </m:r>
        <m:r>
          <m:rPr>
            <m:sty m:val="p"/>
          </m:rPr>
          <w:rPr>
            <w:rFonts w:ascii="Cambria Math" w:hAnsi="Cambria Math" w:cs="Arial"/>
          </w:rPr>
          <m:t>0,717* X1 + 0,847* X2 + 3,107* X3 + 0,420* X4 + 0,998* X5</m:t>
        </m:r>
      </m:oMath>
      <w:r>
        <w:tab/>
      </w:r>
      <w:r>
        <w:tab/>
      </w:r>
      <w:r>
        <w:tab/>
        <w:t>(1)</w:t>
      </w:r>
    </w:p>
    <w:p w:rsidR="007538CF" w:rsidRPr="00C909FD" w:rsidRDefault="007538CF" w:rsidP="007538CF">
      <w:pPr>
        <w:pStyle w:val="CM-body"/>
      </w:pPr>
      <w:r w:rsidRPr="00C909FD">
        <w:t> </w:t>
      </w:r>
      <w:r>
        <w:t>Where</w:t>
      </w:r>
      <w:r w:rsidRPr="00C909FD">
        <w:t xml:space="preserve">:  X1 = </w:t>
      </w:r>
      <w:r>
        <w:t>Net working capital</w:t>
      </w:r>
      <w:r w:rsidRPr="00C909FD">
        <w:t xml:space="preserve"> / </w:t>
      </w:r>
      <w:r>
        <w:t>total assets (NWC/TA)</w:t>
      </w:r>
    </w:p>
    <w:p w:rsidR="007538CF" w:rsidRPr="00C909FD" w:rsidRDefault="007538CF" w:rsidP="007538CF">
      <w:pPr>
        <w:pStyle w:val="CM-body"/>
      </w:pPr>
      <w:r w:rsidRPr="00C909FD">
        <w:t xml:space="preserve">           </w:t>
      </w:r>
      <w:r>
        <w:t xml:space="preserve">      </w:t>
      </w:r>
      <w:r w:rsidRPr="00C909FD">
        <w:t xml:space="preserve">X2 = </w:t>
      </w:r>
      <w:r>
        <w:t>Retained Earnings from Previous Years</w:t>
      </w:r>
      <w:r w:rsidRPr="00C909FD">
        <w:t xml:space="preserve">/ </w:t>
      </w:r>
      <w:r>
        <w:t>total assets (RE/TA)</w:t>
      </w:r>
    </w:p>
    <w:p w:rsidR="007538CF" w:rsidRPr="00C909FD" w:rsidRDefault="007538CF" w:rsidP="007538CF">
      <w:pPr>
        <w:pStyle w:val="CM-body"/>
      </w:pPr>
      <w:r w:rsidRPr="00C909FD">
        <w:t xml:space="preserve">           </w:t>
      </w:r>
      <w:r>
        <w:t xml:space="preserve">      </w:t>
      </w:r>
      <w:r w:rsidRPr="00C909FD">
        <w:t xml:space="preserve">X3 = EBIT / </w:t>
      </w:r>
      <w:r>
        <w:t>total assets (EBIT/TA)</w:t>
      </w:r>
    </w:p>
    <w:p w:rsidR="007538CF" w:rsidRPr="00C909FD" w:rsidRDefault="007538CF" w:rsidP="007538CF">
      <w:pPr>
        <w:pStyle w:val="CM-body"/>
      </w:pPr>
      <w:r w:rsidRPr="00C909FD">
        <w:t xml:space="preserve">          </w:t>
      </w:r>
      <w:r w:rsidR="00AC5512">
        <w:t xml:space="preserve">      </w:t>
      </w:r>
      <w:r w:rsidRPr="00C909FD">
        <w:t xml:space="preserve"> X4 = </w:t>
      </w:r>
      <w:r>
        <w:t>Booking value of shares</w:t>
      </w:r>
      <w:r w:rsidRPr="00C909FD">
        <w:t xml:space="preserve"> / </w:t>
      </w:r>
      <w:r>
        <w:t>liabilities (S/L)</w:t>
      </w:r>
    </w:p>
    <w:p w:rsidR="007538CF" w:rsidRPr="00C909FD" w:rsidRDefault="007538CF" w:rsidP="007538CF">
      <w:pPr>
        <w:pStyle w:val="CM-body"/>
      </w:pPr>
      <w:r w:rsidRPr="00C909FD">
        <w:t xml:space="preserve">          </w:t>
      </w:r>
      <w:r w:rsidR="00AC5512">
        <w:t xml:space="preserve">      </w:t>
      </w:r>
      <w:r w:rsidRPr="00C909FD">
        <w:t xml:space="preserve"> X5 = </w:t>
      </w:r>
      <w:r>
        <w:t>Sales</w:t>
      </w:r>
      <w:r w:rsidRPr="00C909FD">
        <w:t xml:space="preserve"> / </w:t>
      </w:r>
      <w:r>
        <w:t>total assets (S/TA)</w:t>
      </w:r>
    </w:p>
    <w:p w:rsidR="007538CF" w:rsidRPr="00C909FD" w:rsidRDefault="007538CF" w:rsidP="007538CF">
      <w:pPr>
        <w:pStyle w:val="CM-body"/>
      </w:pPr>
      <w:r>
        <w:t>The value of</w:t>
      </w:r>
      <w:r w:rsidRPr="00C909FD">
        <w:t xml:space="preserve"> Z</w:t>
      </w:r>
      <w:r>
        <w:t>-score</w:t>
      </w:r>
      <w:r w:rsidRPr="00C909FD">
        <w:t> </w:t>
      </w:r>
      <w:r>
        <w:t>oscillates from -4 till</w:t>
      </w:r>
      <w:r w:rsidRPr="00C909FD">
        <w:t xml:space="preserve"> +8</w:t>
      </w:r>
    </w:p>
    <w:p w:rsidR="007538CF" w:rsidRPr="00C909FD" w:rsidRDefault="007538CF" w:rsidP="007538CF">
      <w:pPr>
        <w:pStyle w:val="CM-body"/>
      </w:pPr>
      <w:r>
        <w:t xml:space="preserve">Criteria for evaluation are:  </w:t>
      </w:r>
      <w:r w:rsidRPr="00C909FD">
        <w:tab/>
      </w:r>
      <w:r>
        <w:tab/>
      </w:r>
      <w:r w:rsidRPr="00C909FD">
        <w:t xml:space="preserve">Z </w:t>
      </w:r>
      <w:r w:rsidRPr="00C909FD">
        <w:sym w:font="Symbol" w:char="003E"/>
      </w:r>
      <w:r w:rsidRPr="00C909FD">
        <w:t xml:space="preserve"> 2,9 </w:t>
      </w:r>
      <w:r>
        <w:t>financially strong company</w:t>
      </w:r>
    </w:p>
    <w:p w:rsidR="007538CF" w:rsidRPr="00C909FD" w:rsidRDefault="007538CF" w:rsidP="007538CF">
      <w:pPr>
        <w:pStyle w:val="CM-body"/>
      </w:pPr>
      <w:r w:rsidRPr="00C909FD">
        <w:t xml:space="preserve">                                    </w:t>
      </w:r>
      <w:r w:rsidRPr="00C909FD">
        <w:tab/>
      </w:r>
      <w:r>
        <w:tab/>
      </w:r>
      <w:r>
        <w:tab/>
      </w:r>
      <w:r w:rsidRPr="00C909FD">
        <w:t xml:space="preserve">1,23 </w:t>
      </w:r>
      <w:r w:rsidRPr="00C909FD">
        <w:sym w:font="Symbol" w:char="003C"/>
      </w:r>
      <w:r w:rsidRPr="00C909FD">
        <w:t xml:space="preserve"> Z </w:t>
      </w:r>
      <w:r w:rsidRPr="00C909FD">
        <w:sym w:font="Symbol" w:char="003C"/>
      </w:r>
      <w:r w:rsidRPr="00C909FD">
        <w:t xml:space="preserve"> 2,89 </w:t>
      </w:r>
      <w:r>
        <w:t>some financial difficulties</w:t>
      </w:r>
      <w:r w:rsidRPr="00C909FD">
        <w:t xml:space="preserve">, </w:t>
      </w:r>
      <w:r>
        <w:t>unclear next trend</w:t>
      </w:r>
      <w:r w:rsidRPr="00C909FD">
        <w:t xml:space="preserve"> </w:t>
      </w:r>
    </w:p>
    <w:p w:rsidR="007538CF" w:rsidRPr="00450E82" w:rsidRDefault="007538CF" w:rsidP="007538CF">
      <w:pPr>
        <w:pStyle w:val="CM-body"/>
        <w:rPr>
          <w:rFonts w:ascii="Arial" w:hAnsi="Arial" w:cs="Arial"/>
        </w:rPr>
      </w:pPr>
      <w:r w:rsidRPr="00C909FD">
        <w:t xml:space="preserve">                                            </w:t>
      </w:r>
      <w:r w:rsidRPr="00C909FD">
        <w:tab/>
        <w:t xml:space="preserve"> </w:t>
      </w:r>
      <w:r w:rsidRPr="00C909FD">
        <w:tab/>
        <w:t xml:space="preserve">Z </w:t>
      </w:r>
      <w:r w:rsidRPr="00C909FD">
        <w:sym w:font="Symbol" w:char="003C"/>
      </w:r>
      <w:r w:rsidRPr="00C909FD">
        <w:t xml:space="preserve"> 1,2 </w:t>
      </w:r>
      <w:r>
        <w:t>bankrupt candidate</w:t>
      </w:r>
      <w:r w:rsidRPr="00C909FD">
        <w:t xml:space="preserve">   </w:t>
      </w:r>
      <w:r w:rsidRPr="00450E82">
        <w:rPr>
          <w:rFonts w:ascii="Arial" w:hAnsi="Arial" w:cs="Arial"/>
        </w:rPr>
        <w:t xml:space="preserve"> </w:t>
      </w:r>
    </w:p>
    <w:p w:rsidR="00F41FD2" w:rsidRDefault="00F41FD2" w:rsidP="007538CF">
      <w:pPr>
        <w:pStyle w:val="CM-body"/>
        <w:rPr>
          <w:i/>
        </w:rPr>
      </w:pPr>
    </w:p>
    <w:p w:rsidR="00FE37B4" w:rsidRDefault="00FE37B4" w:rsidP="00F41FD2">
      <w:pPr>
        <w:rPr>
          <w:i/>
        </w:rPr>
      </w:pPr>
    </w:p>
    <w:p w:rsidR="00FE37B4" w:rsidRDefault="00FE37B4" w:rsidP="00F41FD2">
      <w:pPr>
        <w:rPr>
          <w:i/>
        </w:rPr>
      </w:pPr>
    </w:p>
    <w:p w:rsidR="00AC5512" w:rsidRDefault="00F41FD2" w:rsidP="00F41FD2">
      <w:pPr>
        <w:rPr>
          <w:i/>
        </w:rPr>
      </w:pPr>
      <w:r>
        <w:rPr>
          <w:i/>
        </w:rPr>
        <w:lastRenderedPageBreak/>
        <w:t>Index IN 05</w:t>
      </w:r>
    </w:p>
    <w:p w:rsidR="007538CF" w:rsidRDefault="00AC2C91" w:rsidP="007538CF">
      <w:pPr>
        <w:pStyle w:val="CM-body"/>
      </w:pPr>
      <w:r>
        <w:rPr>
          <w:i/>
        </w:rPr>
        <w:t>Mr. and Mrs.</w:t>
      </w:r>
      <w:r>
        <w:t xml:space="preserve"> Neumaier developed model analogical to </w:t>
      </w:r>
      <w:r w:rsidR="007538CF">
        <w:rPr>
          <w:i/>
        </w:rPr>
        <w:t>Altman ´s</w:t>
      </w:r>
      <w:r w:rsidR="007538CF" w:rsidRPr="00C909FD">
        <w:rPr>
          <w:i/>
        </w:rPr>
        <w:t xml:space="preserve"> model</w:t>
      </w:r>
      <w:r w:rsidR="00FE37B4">
        <w:rPr>
          <w:i/>
        </w:rPr>
        <w:t>,</w:t>
      </w:r>
      <w:r w:rsidR="007538CF" w:rsidRPr="00C909FD">
        <w:rPr>
          <w:i/>
        </w:rPr>
        <w:t xml:space="preserve"> </w:t>
      </w:r>
      <w:r w:rsidR="00FE37B4">
        <w:rPr>
          <w:i/>
        </w:rPr>
        <w:t>adjusted</w:t>
      </w:r>
      <w:r>
        <w:rPr>
          <w:i/>
        </w:rPr>
        <w:t xml:space="preserve"> for Czech conditions with usage of</w:t>
      </w:r>
      <w:r w:rsidR="007538CF">
        <w:t xml:space="preserve"> database of Ministry of Trade</w:t>
      </w:r>
      <w:r>
        <w:t>.</w:t>
      </w:r>
      <w:r w:rsidR="007538CF">
        <w:t xml:space="preserve"> </w:t>
      </w:r>
      <w:r>
        <w:t>Authors</w:t>
      </w:r>
      <w:r w:rsidR="007538CF">
        <w:t xml:space="preserve"> gradually developed models:</w:t>
      </w:r>
      <w:r w:rsidR="007538CF" w:rsidRPr="00C909FD">
        <w:t xml:space="preserve"> IN95, IN99 </w:t>
      </w:r>
      <w:proofErr w:type="gramStart"/>
      <w:r w:rsidR="007538CF" w:rsidRPr="00C909FD">
        <w:t>a</w:t>
      </w:r>
      <w:proofErr w:type="gramEnd"/>
      <w:r w:rsidR="007538CF" w:rsidRPr="00C909FD">
        <w:t xml:space="preserve"> IN01</w:t>
      </w:r>
      <w:r w:rsidR="007538CF">
        <w:t xml:space="preserve"> (numbers correspond to year when model was presented)</w:t>
      </w:r>
      <w:r w:rsidR="007538CF" w:rsidRPr="003921E9">
        <w:t xml:space="preserve"> </w:t>
      </w:r>
      <w:r w:rsidR="007538CF">
        <w:t>[5]</w:t>
      </w:r>
      <w:r w:rsidR="007538CF" w:rsidRPr="00C909FD">
        <w:t>.</w:t>
      </w:r>
      <w:r w:rsidR="00FE37B4">
        <w:t xml:space="preserve"> It was chosen IN 05 foe verification in this paper.</w:t>
      </w:r>
    </w:p>
    <w:p w:rsidR="007538CF" w:rsidRPr="00C909FD" w:rsidRDefault="007538CF" w:rsidP="007538CF">
      <w:pPr>
        <w:pStyle w:val="CM-body"/>
      </w:pPr>
    </w:p>
    <w:p w:rsidR="007538CF" w:rsidRPr="00AF55EE" w:rsidRDefault="007538CF" w:rsidP="007538CF">
      <w:pPr>
        <w:rPr>
          <w:rFonts w:eastAsiaTheme="minorHAnsi"/>
          <w:i/>
          <w:lang w:val="en-US" w:eastAsia="en-US"/>
        </w:rPr>
      </w:pPr>
      <w:r w:rsidRPr="00AF55EE">
        <w:rPr>
          <w:rFonts w:eastAsiaTheme="minorHAnsi"/>
          <w:i/>
          <w:lang w:val="en-US" w:eastAsia="en-US"/>
        </w:rPr>
        <w:t>Index IN05 – formula for calculation</w:t>
      </w:r>
    </w:p>
    <w:p w:rsidR="007538CF" w:rsidRPr="00363C85" w:rsidRDefault="007538CF" w:rsidP="007538CF">
      <w:pPr>
        <w:rPr>
          <w:rFonts w:ascii="Arial" w:eastAsia="Times New Roman" w:hAnsi="Arial" w:cs="Arial"/>
          <w:b/>
          <w:color w:val="FF0000"/>
        </w:rPr>
      </w:pPr>
      <m:oMath>
        <m:r>
          <m:rPr>
            <m:sty m:val="p"/>
          </m:rPr>
          <w:rPr>
            <w:rFonts w:ascii="Cambria Math" w:hAnsi="Cambria Math"/>
          </w:rPr>
          <m:t>IN05= 0,13 x A/CK + 0,04 x EBIT/IC + 3,97 x EBIT/A + 0,21 x TR/A + 0,09 x OA/KRZ</m:t>
        </m:r>
      </m:oMath>
      <w:r>
        <w:t xml:space="preserve">    (2)</w:t>
      </w:r>
    </w:p>
    <w:p w:rsidR="007538CF" w:rsidRPr="004D1595" w:rsidRDefault="007538CF" w:rsidP="007538CF">
      <w:pPr>
        <w:pStyle w:val="CM-body"/>
      </w:pPr>
      <w:r>
        <w:t>Where</w:t>
      </w:r>
      <w:r w:rsidRPr="004D1595">
        <w:t>:</w:t>
      </w:r>
    </w:p>
    <w:p w:rsidR="007538CF" w:rsidRPr="004D1595" w:rsidRDefault="00FE37B4" w:rsidP="007538CF">
      <w:pPr>
        <w:pStyle w:val="CM-body"/>
      </w:pPr>
      <w:r>
        <w:t xml:space="preserve">A </w:t>
      </w:r>
      <w:r>
        <w:tab/>
      </w:r>
      <w:r>
        <w:tab/>
        <w:t>=</w:t>
      </w:r>
      <w:r w:rsidR="007538CF" w:rsidRPr="004D1595">
        <w:t xml:space="preserve"> </w:t>
      </w:r>
      <w:r w:rsidR="007538CF">
        <w:t>Assets</w:t>
      </w:r>
      <w:r w:rsidR="007538CF" w:rsidRPr="004D1595">
        <w:t xml:space="preserve"> </w:t>
      </w:r>
    </w:p>
    <w:p w:rsidR="007538CF" w:rsidRPr="004D1595" w:rsidRDefault="00FE37B4" w:rsidP="007538CF">
      <w:pPr>
        <w:pStyle w:val="CM-body"/>
      </w:pPr>
      <w:r>
        <w:t xml:space="preserve">CK </w:t>
      </w:r>
      <w:r>
        <w:tab/>
      </w:r>
      <w:r>
        <w:tab/>
        <w:t>=</w:t>
      </w:r>
      <w:r w:rsidR="007538CF" w:rsidRPr="004D1595">
        <w:t xml:space="preserve"> </w:t>
      </w:r>
      <w:r w:rsidR="007538CF">
        <w:t>Liabilities</w:t>
      </w:r>
      <w:r w:rsidR="007538CF" w:rsidRPr="004D1595">
        <w:t xml:space="preserve"> </w:t>
      </w:r>
    </w:p>
    <w:p w:rsidR="007538CF" w:rsidRPr="004D1595" w:rsidRDefault="007538CF" w:rsidP="007538CF">
      <w:pPr>
        <w:pStyle w:val="CM-body"/>
      </w:pPr>
      <w:r>
        <w:t>EBIT</w:t>
      </w:r>
      <w:r>
        <w:tab/>
      </w:r>
      <w:r>
        <w:tab/>
      </w:r>
      <w:r w:rsidR="00FE37B4">
        <w:t>=</w:t>
      </w:r>
      <w:r w:rsidRPr="004D1595">
        <w:t xml:space="preserve"> </w:t>
      </w:r>
      <w:r>
        <w:t>Earnings before interest and taxes</w:t>
      </w:r>
      <w:r w:rsidRPr="004D1595">
        <w:t xml:space="preserve"> </w:t>
      </w:r>
    </w:p>
    <w:p w:rsidR="007538CF" w:rsidRPr="004D1595" w:rsidRDefault="007538CF" w:rsidP="007538CF">
      <w:pPr>
        <w:pStyle w:val="CM-body"/>
      </w:pPr>
      <w:r>
        <w:t>IC</w:t>
      </w:r>
      <w:r w:rsidRPr="004D1595">
        <w:t xml:space="preserve"> </w:t>
      </w:r>
      <w:r w:rsidRPr="004D1595">
        <w:tab/>
      </w:r>
      <w:r>
        <w:tab/>
      </w:r>
      <w:r w:rsidR="00FE37B4">
        <w:t>= I</w:t>
      </w:r>
      <w:r>
        <w:t>nterest costs of liabilities</w:t>
      </w:r>
      <w:r w:rsidRPr="004D1595">
        <w:t xml:space="preserve"> </w:t>
      </w:r>
    </w:p>
    <w:p w:rsidR="007538CF" w:rsidRPr="004D1595" w:rsidRDefault="00FE37B4" w:rsidP="007538CF">
      <w:pPr>
        <w:pStyle w:val="CM-body"/>
      </w:pPr>
      <w:r>
        <w:t xml:space="preserve">TR </w:t>
      </w:r>
      <w:r>
        <w:tab/>
      </w:r>
      <w:r>
        <w:tab/>
        <w:t>=</w:t>
      </w:r>
      <w:r w:rsidR="007538CF" w:rsidRPr="004D1595">
        <w:t xml:space="preserve"> </w:t>
      </w:r>
      <w:r w:rsidR="007538CF">
        <w:t>Sales</w:t>
      </w:r>
      <w:r w:rsidR="007538CF" w:rsidRPr="004D1595">
        <w:t xml:space="preserve"> </w:t>
      </w:r>
    </w:p>
    <w:p w:rsidR="007538CF" w:rsidRPr="004D1595" w:rsidRDefault="00FE37B4" w:rsidP="007538CF">
      <w:pPr>
        <w:pStyle w:val="CM-body"/>
      </w:pPr>
      <w:r>
        <w:t xml:space="preserve">OA </w:t>
      </w:r>
      <w:r>
        <w:tab/>
      </w:r>
      <w:r>
        <w:tab/>
        <w:t>=</w:t>
      </w:r>
      <w:r w:rsidR="007538CF" w:rsidRPr="004D1595">
        <w:t xml:space="preserve"> </w:t>
      </w:r>
      <w:r w:rsidR="007538CF">
        <w:t>Current assets</w:t>
      </w:r>
      <w:r w:rsidR="007538CF" w:rsidRPr="004D1595">
        <w:t xml:space="preserve"> </w:t>
      </w:r>
    </w:p>
    <w:p w:rsidR="007538CF" w:rsidRDefault="00FE37B4" w:rsidP="007538CF">
      <w:pPr>
        <w:pStyle w:val="CM-body"/>
        <w:rPr>
          <w:rFonts w:ascii="Arial" w:eastAsia="Times New Roman" w:hAnsi="Arial" w:cs="Arial"/>
        </w:rPr>
      </w:pPr>
      <w:r>
        <w:t xml:space="preserve">KRZ </w:t>
      </w:r>
      <w:r>
        <w:tab/>
      </w:r>
      <w:r>
        <w:tab/>
        <w:t>=</w:t>
      </w:r>
      <w:r w:rsidR="007538CF" w:rsidRPr="004D1595">
        <w:t xml:space="preserve"> </w:t>
      </w:r>
      <w:r w:rsidR="007538CF">
        <w:t>Short-termed liabilities</w:t>
      </w:r>
      <w:r w:rsidR="007538CF" w:rsidRPr="000F1669">
        <w:rPr>
          <w:rFonts w:ascii="Arial" w:eastAsia="Times New Roman" w:hAnsi="Arial" w:cs="Arial"/>
        </w:rPr>
        <w:t xml:space="preserve"> </w:t>
      </w:r>
    </w:p>
    <w:p w:rsidR="007538CF" w:rsidRDefault="007538CF" w:rsidP="007538CF">
      <w:pPr>
        <w:shd w:val="clear" w:color="auto" w:fill="FFFFFF"/>
        <w:spacing w:after="0" w:line="301" w:lineRule="atLeast"/>
        <w:rPr>
          <w:rFonts w:ascii="Arial" w:eastAsia="Times New Roman" w:hAnsi="Arial" w:cs="Arial"/>
        </w:rPr>
      </w:pPr>
    </w:p>
    <w:p w:rsidR="007538CF" w:rsidRPr="004D1595" w:rsidRDefault="00F41FD2" w:rsidP="007538CF">
      <w:r>
        <w:rPr>
          <w:rFonts w:eastAsiaTheme="minorHAnsi"/>
          <w:i/>
          <w:lang w:val="en-US" w:eastAsia="en-US"/>
        </w:rPr>
        <w:t>I</w:t>
      </w:r>
      <w:r w:rsidR="002E59FC" w:rsidRPr="006D1041">
        <w:rPr>
          <w:rFonts w:eastAsiaTheme="minorHAnsi"/>
          <w:i/>
          <w:lang w:val="en-US" w:eastAsia="en-US"/>
        </w:rPr>
        <w:t xml:space="preserve">nterpretation </w:t>
      </w:r>
      <w:r w:rsidR="002E59FC">
        <w:rPr>
          <w:rFonts w:eastAsiaTheme="minorHAnsi"/>
          <w:i/>
          <w:lang w:val="en-US" w:eastAsia="en-US"/>
        </w:rPr>
        <w:t xml:space="preserve">of </w:t>
      </w:r>
      <w:r w:rsidR="007538CF" w:rsidRPr="006D1041">
        <w:rPr>
          <w:rFonts w:eastAsiaTheme="minorHAnsi"/>
          <w:i/>
          <w:lang w:val="en-US" w:eastAsia="en-US"/>
        </w:rPr>
        <w:t xml:space="preserve">IN05 results </w:t>
      </w:r>
      <w:r w:rsidR="007538CF">
        <w:t>[5]</w:t>
      </w:r>
      <w:r w:rsidR="007538CF" w:rsidRPr="006D1041">
        <w:rPr>
          <w:rFonts w:eastAsiaTheme="minorHAnsi"/>
          <w:i/>
          <w:lang w:val="en-US" w:eastAsia="en-US"/>
        </w:rPr>
        <w:t>:</w:t>
      </w:r>
      <w:r w:rsidR="007538CF" w:rsidRPr="004D1595">
        <w:t xml:space="preserve"> </w:t>
      </w:r>
    </w:p>
    <w:p w:rsidR="007538CF" w:rsidRPr="004D1595" w:rsidRDefault="007538CF" w:rsidP="007538CF">
      <w:pPr>
        <w:pStyle w:val="CM-body"/>
        <w:ind w:left="2124" w:hanging="1897"/>
      </w:pPr>
      <w:r>
        <w:t xml:space="preserve">IN05 &lt; 0,9 </w:t>
      </w:r>
      <w:r>
        <w:tab/>
        <w:t xml:space="preserve">company does not create the value and moved towards the bankrupt </w:t>
      </w:r>
      <w:r w:rsidRPr="004D1595">
        <w:t>(</w:t>
      </w:r>
      <w:r>
        <w:t xml:space="preserve">with probability of </w:t>
      </w:r>
      <w:r w:rsidRPr="004D1595">
        <w:t>86%)</w:t>
      </w:r>
    </w:p>
    <w:p w:rsidR="007538CF" w:rsidRPr="004D1595" w:rsidRDefault="007538CF" w:rsidP="007538CF">
      <w:pPr>
        <w:pStyle w:val="CM-body"/>
      </w:pPr>
      <w:r w:rsidRPr="004D1595">
        <w:t xml:space="preserve">IN05 &gt; 1,6 </w:t>
      </w:r>
      <w:r w:rsidRPr="004D1595">
        <w:tab/>
      </w:r>
      <w:r w:rsidRPr="004D1595">
        <w:tab/>
      </w:r>
      <w:r>
        <w:t>company creates the value (with probability of</w:t>
      </w:r>
      <w:r w:rsidRPr="004D1595">
        <w:t xml:space="preserve"> 67%)</w:t>
      </w:r>
    </w:p>
    <w:p w:rsidR="007538CF" w:rsidRPr="004D1595" w:rsidRDefault="007538CF" w:rsidP="007538CF">
      <w:pPr>
        <w:pStyle w:val="CM-body"/>
      </w:pPr>
      <w:r w:rsidRPr="004D1595">
        <w:t xml:space="preserve">0,9 &lt; IN05 &lt; 1,6 </w:t>
      </w:r>
      <w:r w:rsidRPr="004D1595">
        <w:tab/>
      </w:r>
      <w:r>
        <w:t>twilight zone</w:t>
      </w:r>
    </w:p>
    <w:p w:rsidR="007538CF" w:rsidRPr="004D1595" w:rsidRDefault="007538CF" w:rsidP="007538CF">
      <w:pPr>
        <w:pStyle w:val="CM-body"/>
      </w:pPr>
    </w:p>
    <w:p w:rsidR="007538CF" w:rsidRPr="004D1595" w:rsidRDefault="007538CF" w:rsidP="007538CF">
      <w:pPr>
        <w:pStyle w:val="CM-body"/>
      </w:pPr>
      <w:r>
        <w:t>If the company has low level of debts (or any debts), it is recommended to replace the ratio EBIT/IC by number 9 to get proper result.</w:t>
      </w:r>
    </w:p>
    <w:p w:rsidR="007538CF" w:rsidRDefault="007538CF" w:rsidP="007538CF">
      <w:pPr>
        <w:autoSpaceDE w:val="0"/>
        <w:autoSpaceDN w:val="0"/>
        <w:adjustRightInd w:val="0"/>
        <w:spacing w:after="0" w:line="240" w:lineRule="auto"/>
        <w:rPr>
          <w:rFonts w:ascii="Arial" w:hAnsi="Arial" w:cs="Arial"/>
        </w:rPr>
      </w:pPr>
    </w:p>
    <w:p w:rsidR="007538CF" w:rsidRPr="0071584A" w:rsidRDefault="007538CF" w:rsidP="007538CF">
      <w:pPr>
        <w:rPr>
          <w:rFonts w:ascii="Arial" w:hAnsi="Arial" w:cs="Arial"/>
          <w:b/>
        </w:rPr>
      </w:pPr>
      <w:r w:rsidRPr="00851D51">
        <w:rPr>
          <w:rFonts w:eastAsiaTheme="minorHAnsi"/>
          <w:i/>
          <w:lang w:val="en-US" w:eastAsia="en-US"/>
        </w:rPr>
        <w:t>Indexes interpretation</w:t>
      </w:r>
    </w:p>
    <w:p w:rsidR="007538CF" w:rsidRPr="004D1595" w:rsidRDefault="007538CF" w:rsidP="007538CF">
      <w:pPr>
        <w:pStyle w:val="CM-body"/>
      </w:pPr>
      <w:r>
        <w:t>It is</w:t>
      </w:r>
      <w:r w:rsidR="002E59FC">
        <w:t xml:space="preserve"> str</w:t>
      </w:r>
      <w:r w:rsidR="00FE37B4">
        <w:t>ongly recommended to interpret</w:t>
      </w:r>
      <w:r>
        <w:t xml:space="preserve"> </w:t>
      </w:r>
      <w:r w:rsidR="002E59FC">
        <w:t>indexes</w:t>
      </w:r>
      <w:r>
        <w:t xml:space="preserve"> in wider context</w:t>
      </w:r>
      <w:r w:rsidR="002E59FC">
        <w:t xml:space="preserve"> (company insight, macroeconomic situation</w:t>
      </w:r>
      <w:r w:rsidR="00F41FD2">
        <w:t xml:space="preserve">, </w:t>
      </w:r>
      <w:r w:rsidR="002E59FC">
        <w:t>industry</w:t>
      </w:r>
      <w:r w:rsidR="00F41FD2">
        <w:t>, etc.</w:t>
      </w:r>
      <w:r w:rsidR="002E59FC">
        <w:t>)</w:t>
      </w:r>
      <w:r>
        <w:t>.</w:t>
      </w:r>
      <w:r w:rsidRPr="004D1595">
        <w:t xml:space="preserve"> </w:t>
      </w:r>
    </w:p>
    <w:p w:rsidR="007538CF" w:rsidRDefault="007538CF" w:rsidP="005531C2">
      <w:pPr>
        <w:pStyle w:val="CM-body"/>
      </w:pPr>
    </w:p>
    <w:p w:rsidR="005531C2" w:rsidRDefault="005531C2" w:rsidP="005531C2">
      <w:pPr>
        <w:pStyle w:val="CM-heading2"/>
      </w:pPr>
      <w:r>
        <w:t>Results</w:t>
      </w:r>
      <w:r w:rsidR="00B13510">
        <w:t xml:space="preserve"> details</w:t>
      </w:r>
    </w:p>
    <w:p w:rsidR="00484470" w:rsidRPr="00860BE2" w:rsidRDefault="00484470" w:rsidP="00484470">
      <w:pPr>
        <w:rPr>
          <w:rFonts w:eastAsiaTheme="minorHAnsi"/>
          <w:i/>
          <w:lang w:val="en-US" w:eastAsia="en-US"/>
        </w:rPr>
      </w:pPr>
      <w:r>
        <w:rPr>
          <w:rFonts w:eastAsiaTheme="minorHAnsi"/>
          <w:i/>
          <w:lang w:val="en-US" w:eastAsia="en-US"/>
        </w:rPr>
        <w:t>Introduction of case study (company situation)</w:t>
      </w:r>
    </w:p>
    <w:p w:rsidR="00484470" w:rsidRDefault="00484470" w:rsidP="00484470">
      <w:pPr>
        <w:pStyle w:val="CM-body"/>
      </w:pPr>
      <w:r>
        <w:t xml:space="preserve">Verification is provided on middle sized construction company 1 year after splitting the real estate property from the company. Object of the splitting was real estate property, all assets related to this property and all contracts related to assets (employee contracts inclusive). </w:t>
      </w:r>
    </w:p>
    <w:p w:rsidR="00484470" w:rsidRDefault="00484470" w:rsidP="00484470">
      <w:pPr>
        <w:pStyle w:val="CM-body"/>
      </w:pPr>
    </w:p>
    <w:p w:rsidR="00FE37B4" w:rsidRDefault="00FE37B4" w:rsidP="00484470">
      <w:pPr>
        <w:pStyle w:val="CM-body"/>
      </w:pPr>
    </w:p>
    <w:p w:rsidR="00FE37B4" w:rsidRPr="00DD001F" w:rsidRDefault="00FE37B4" w:rsidP="00484470">
      <w:pPr>
        <w:pStyle w:val="CM-body"/>
      </w:pPr>
    </w:p>
    <w:p w:rsidR="00484470" w:rsidRPr="00274CC9" w:rsidRDefault="00484470" w:rsidP="00484470">
      <w:pPr>
        <w:rPr>
          <w:rFonts w:eastAsiaTheme="minorHAnsi"/>
          <w:i/>
          <w:lang w:val="en-US" w:eastAsia="en-US"/>
        </w:rPr>
      </w:pPr>
      <w:r>
        <w:rPr>
          <w:rFonts w:eastAsiaTheme="minorHAnsi"/>
          <w:i/>
          <w:lang w:val="en-US" w:eastAsia="en-US"/>
        </w:rPr>
        <w:lastRenderedPageBreak/>
        <w:t xml:space="preserve">Transferred part of the original company – definition </w:t>
      </w:r>
    </w:p>
    <w:p w:rsidR="00484470" w:rsidRDefault="00484470" w:rsidP="00484470">
      <w:pPr>
        <w:pStyle w:val="CM-body"/>
        <w:rPr>
          <w:rFonts w:ascii="Arial CE" w:hAnsi="Arial CE" w:cs="Arial CE"/>
          <w:sz w:val="19"/>
          <w:szCs w:val="19"/>
        </w:rPr>
      </w:pPr>
      <w:r>
        <w:t>D</w:t>
      </w:r>
      <w:r w:rsidR="00FE37B4">
        <w:t>efinition of transferred part was</w:t>
      </w:r>
      <w:r>
        <w:t xml:space="preserve"> the object of Project Splitting by merger </w:t>
      </w:r>
      <w:r w:rsidRPr="00DD001F">
        <w:t>(</w:t>
      </w:r>
      <w:r>
        <w:t xml:space="preserve">in line with the Act no </w:t>
      </w:r>
      <w:r w:rsidRPr="00DD001F">
        <w:t xml:space="preserve">125/2008 </w:t>
      </w:r>
      <w:r>
        <w:t xml:space="preserve">statue book about company transformation, </w:t>
      </w:r>
      <w:r w:rsidRPr="00DD001F">
        <w:t>as</w:t>
      </w:r>
      <w:r w:rsidRPr="008A2AA3">
        <w:t xml:space="preserve"> subsequently amended</w:t>
      </w:r>
      <w:r>
        <w:t>).</w:t>
      </w:r>
      <w:r>
        <w:rPr>
          <w:rFonts w:ascii="Arial CE" w:hAnsi="Arial CE" w:cs="Arial CE"/>
          <w:sz w:val="19"/>
          <w:szCs w:val="19"/>
        </w:rPr>
        <w:t xml:space="preserve"> </w:t>
      </w:r>
    </w:p>
    <w:p w:rsidR="00484470" w:rsidRPr="00DD001F" w:rsidRDefault="00484470" w:rsidP="00484470">
      <w:pPr>
        <w:pStyle w:val="CM-body"/>
      </w:pPr>
      <w:r>
        <w:t>Transfer from the assets</w:t>
      </w:r>
      <w:r w:rsidRPr="00DD001F">
        <w:rPr>
          <w:i/>
        </w:rPr>
        <w:t>:</w:t>
      </w:r>
    </w:p>
    <w:p w:rsidR="00484470" w:rsidRPr="00DD001F" w:rsidRDefault="00484470" w:rsidP="00484470">
      <w:pPr>
        <w:pStyle w:val="CM-bulletlist"/>
        <w:numPr>
          <w:ilvl w:val="0"/>
          <w:numId w:val="23"/>
        </w:numPr>
        <w:autoSpaceDE w:val="0"/>
        <w:autoSpaceDN w:val="0"/>
        <w:adjustRightInd w:val="0"/>
        <w:spacing w:after="0" w:line="240" w:lineRule="auto"/>
        <w:ind w:left="340" w:hanging="227"/>
        <w:rPr>
          <w:rFonts w:cs="Arial"/>
        </w:rPr>
      </w:pPr>
      <w:r>
        <w:rPr>
          <w:rFonts w:cs="Arial"/>
        </w:rPr>
        <w:t xml:space="preserve">Plants, Buildings, Equipment – net value </w:t>
      </w:r>
    </w:p>
    <w:p w:rsidR="00484470" w:rsidRDefault="00484470" w:rsidP="00484470">
      <w:pPr>
        <w:pStyle w:val="CM-bulletlist"/>
        <w:numPr>
          <w:ilvl w:val="0"/>
          <w:numId w:val="0"/>
        </w:numPr>
        <w:autoSpaceDE w:val="0"/>
        <w:autoSpaceDN w:val="0"/>
        <w:adjustRightInd w:val="0"/>
        <w:spacing w:after="0" w:line="240" w:lineRule="auto"/>
        <w:ind w:left="340"/>
        <w:rPr>
          <w:rFonts w:ascii="Arial" w:hAnsi="Arial" w:cs="Arial"/>
        </w:rPr>
      </w:pPr>
    </w:p>
    <w:p w:rsidR="00484470" w:rsidRPr="00DD001F" w:rsidRDefault="00484470" w:rsidP="00484470">
      <w:pPr>
        <w:pStyle w:val="CM-body"/>
      </w:pPr>
      <w:r>
        <w:t>Transfer from the equity and liabilities</w:t>
      </w:r>
      <w:r w:rsidRPr="00DD001F">
        <w:t>:</w:t>
      </w:r>
    </w:p>
    <w:p w:rsidR="00484470" w:rsidRDefault="00484470" w:rsidP="00484470">
      <w:pPr>
        <w:pStyle w:val="CM-bulletlist"/>
        <w:numPr>
          <w:ilvl w:val="0"/>
          <w:numId w:val="23"/>
        </w:numPr>
        <w:autoSpaceDE w:val="0"/>
        <w:autoSpaceDN w:val="0"/>
        <w:adjustRightInd w:val="0"/>
        <w:spacing w:after="0" w:line="240" w:lineRule="auto"/>
        <w:ind w:left="340" w:hanging="227"/>
        <w:rPr>
          <w:rFonts w:cs="Arial"/>
        </w:rPr>
      </w:pPr>
      <w:r w:rsidRPr="008A2AA3">
        <w:rPr>
          <w:rFonts w:cs="Arial"/>
        </w:rPr>
        <w:t xml:space="preserve">Retained earnings from the previous years </w:t>
      </w:r>
    </w:p>
    <w:p w:rsidR="00484470" w:rsidRPr="008A2AA3" w:rsidRDefault="00484470" w:rsidP="00484470">
      <w:pPr>
        <w:pStyle w:val="CM-bulletlist"/>
        <w:numPr>
          <w:ilvl w:val="0"/>
          <w:numId w:val="23"/>
        </w:numPr>
        <w:autoSpaceDE w:val="0"/>
        <w:autoSpaceDN w:val="0"/>
        <w:adjustRightInd w:val="0"/>
        <w:spacing w:after="0" w:line="240" w:lineRule="auto"/>
        <w:ind w:left="340" w:hanging="227"/>
        <w:rPr>
          <w:rFonts w:cs="Arial"/>
        </w:rPr>
      </w:pPr>
      <w:r>
        <w:rPr>
          <w:rFonts w:cs="Arial"/>
        </w:rPr>
        <w:t xml:space="preserve">Other long termed liabilities </w:t>
      </w:r>
    </w:p>
    <w:p w:rsidR="00484470" w:rsidRPr="00DD001F" w:rsidRDefault="00484470" w:rsidP="00484470">
      <w:pPr>
        <w:pStyle w:val="CM-bulletlist"/>
        <w:numPr>
          <w:ilvl w:val="0"/>
          <w:numId w:val="23"/>
        </w:numPr>
        <w:autoSpaceDE w:val="0"/>
        <w:autoSpaceDN w:val="0"/>
        <w:adjustRightInd w:val="0"/>
        <w:spacing w:after="0" w:line="240" w:lineRule="auto"/>
        <w:ind w:left="340" w:hanging="227"/>
        <w:rPr>
          <w:rFonts w:cs="Arial"/>
        </w:rPr>
      </w:pPr>
      <w:r>
        <w:rPr>
          <w:rFonts w:cs="Arial"/>
        </w:rPr>
        <w:t xml:space="preserve">Deferred tax liabilities </w:t>
      </w:r>
      <w:r w:rsidRPr="00DD001F">
        <w:rPr>
          <w:rFonts w:cs="Arial"/>
        </w:rPr>
        <w:t>(</w:t>
      </w:r>
      <w:r>
        <w:rPr>
          <w:rFonts w:cs="Arial"/>
        </w:rPr>
        <w:t>related to transferred fixed assets</w:t>
      </w:r>
      <w:r w:rsidRPr="00DD001F">
        <w:rPr>
          <w:rFonts w:cs="Arial"/>
        </w:rPr>
        <w:t>)</w:t>
      </w:r>
    </w:p>
    <w:p w:rsidR="00484470" w:rsidRDefault="00484470" w:rsidP="00484470">
      <w:pPr>
        <w:pStyle w:val="CM-bulletlist"/>
        <w:numPr>
          <w:ilvl w:val="0"/>
          <w:numId w:val="23"/>
        </w:numPr>
        <w:autoSpaceDE w:val="0"/>
        <w:autoSpaceDN w:val="0"/>
        <w:adjustRightInd w:val="0"/>
        <w:spacing w:after="0" w:line="240" w:lineRule="auto"/>
        <w:ind w:left="340" w:hanging="227"/>
        <w:rPr>
          <w:rFonts w:cs="Arial"/>
        </w:rPr>
      </w:pPr>
      <w:r>
        <w:rPr>
          <w:rFonts w:cs="Arial"/>
        </w:rPr>
        <w:t>Deposits received</w:t>
      </w:r>
      <w:r w:rsidRPr="00DD001F">
        <w:rPr>
          <w:rFonts w:cs="Arial"/>
        </w:rPr>
        <w:t xml:space="preserve"> (</w:t>
      </w:r>
      <w:r>
        <w:rPr>
          <w:rFonts w:cs="Arial"/>
        </w:rPr>
        <w:t>related to lease contracts</w:t>
      </w:r>
      <w:r w:rsidRPr="00DD001F">
        <w:rPr>
          <w:rFonts w:cs="Arial"/>
        </w:rPr>
        <w:t>)</w:t>
      </w:r>
    </w:p>
    <w:p w:rsidR="00484470" w:rsidRPr="00DD001F" w:rsidRDefault="00484470" w:rsidP="00484470">
      <w:pPr>
        <w:pStyle w:val="CM-bulletlist"/>
        <w:numPr>
          <w:ilvl w:val="0"/>
          <w:numId w:val="0"/>
        </w:numPr>
        <w:autoSpaceDE w:val="0"/>
        <w:autoSpaceDN w:val="0"/>
        <w:adjustRightInd w:val="0"/>
        <w:spacing w:after="0" w:line="240" w:lineRule="auto"/>
        <w:ind w:left="340"/>
        <w:rPr>
          <w:rFonts w:cs="Arial"/>
        </w:rPr>
      </w:pPr>
    </w:p>
    <w:p w:rsidR="00484470" w:rsidRPr="009A6246" w:rsidRDefault="00484470" w:rsidP="00484470">
      <w:pPr>
        <w:rPr>
          <w:rFonts w:eastAsiaTheme="minorHAnsi"/>
          <w:i/>
          <w:lang w:val="en-US" w:eastAsia="en-US"/>
        </w:rPr>
      </w:pPr>
      <w:r>
        <w:rPr>
          <w:rFonts w:eastAsiaTheme="minorHAnsi"/>
          <w:i/>
          <w:lang w:val="en-US" w:eastAsia="en-US"/>
        </w:rPr>
        <w:t>Splitting Consequences</w:t>
      </w:r>
    </w:p>
    <w:p w:rsidR="00484470" w:rsidRDefault="00484470" w:rsidP="00484470">
      <w:pPr>
        <w:pStyle w:val="CM-body"/>
      </w:pPr>
      <w:r>
        <w:t xml:space="preserve">One company was replaced by two legal entities. The original </w:t>
      </w:r>
      <w:r w:rsidR="00DD7471">
        <w:t>company continues</w:t>
      </w:r>
      <w:r>
        <w:t xml:space="preserve"> in construction business; the new one is concentrated on property and facility management. Both companies operate independently to each other and both generate profit</w:t>
      </w:r>
      <w:r w:rsidR="00FE37B4">
        <w:t xml:space="preserve"> (based on 2014 final and 2015 preliminary results)</w:t>
      </w:r>
      <w:r>
        <w:t xml:space="preserve">. </w:t>
      </w:r>
    </w:p>
    <w:p w:rsidR="000439E9" w:rsidRDefault="000439E9" w:rsidP="00484470">
      <w:pPr>
        <w:rPr>
          <w:rFonts w:eastAsiaTheme="minorHAnsi"/>
          <w:i/>
          <w:lang w:val="en-US" w:eastAsia="en-US"/>
        </w:rPr>
      </w:pPr>
    </w:p>
    <w:p w:rsidR="00484470" w:rsidRPr="009A6246" w:rsidRDefault="00484470" w:rsidP="00484470">
      <w:pPr>
        <w:rPr>
          <w:rFonts w:eastAsiaTheme="minorHAnsi"/>
          <w:i/>
          <w:lang w:val="en-US" w:eastAsia="en-US"/>
        </w:rPr>
      </w:pPr>
      <w:r>
        <w:rPr>
          <w:rFonts w:eastAsiaTheme="minorHAnsi"/>
          <w:i/>
          <w:lang w:val="en-US" w:eastAsia="en-US"/>
        </w:rPr>
        <w:t xml:space="preserve">Verification - </w:t>
      </w:r>
      <w:r w:rsidRPr="009A6246">
        <w:rPr>
          <w:rFonts w:eastAsiaTheme="minorHAnsi"/>
          <w:i/>
          <w:lang w:val="en-US" w:eastAsia="en-US"/>
        </w:rPr>
        <w:t xml:space="preserve">influence of real estate assets transfer to financial </w:t>
      </w:r>
      <w:r>
        <w:rPr>
          <w:rFonts w:eastAsiaTheme="minorHAnsi"/>
          <w:i/>
          <w:lang w:val="en-US" w:eastAsia="en-US"/>
        </w:rPr>
        <w:t>health</w:t>
      </w:r>
      <w:r w:rsidRPr="009A6246">
        <w:rPr>
          <w:rFonts w:eastAsiaTheme="minorHAnsi"/>
          <w:i/>
          <w:lang w:val="en-US" w:eastAsia="en-US"/>
        </w:rPr>
        <w:t xml:space="preserve"> of the original company</w:t>
      </w:r>
    </w:p>
    <w:p w:rsidR="00484470" w:rsidRDefault="00484470" w:rsidP="00484470">
      <w:pPr>
        <w:pStyle w:val="CM-body"/>
      </w:pPr>
      <w:r>
        <w:t xml:space="preserve">Data from Financial Statements (2011, 2012, 2013, </w:t>
      </w:r>
      <w:proofErr w:type="gramStart"/>
      <w:r>
        <w:t>2014</w:t>
      </w:r>
      <w:proofErr w:type="gramEnd"/>
      <w:r>
        <w:t>) were used for summary indexes calculation.</w:t>
      </w:r>
    </w:p>
    <w:p w:rsidR="00484470" w:rsidRDefault="00FE37B4" w:rsidP="00484470">
      <w:pPr>
        <w:pStyle w:val="CM-body"/>
      </w:pPr>
      <w:r>
        <w:t>1.1.2014 was defined as the D</w:t>
      </w:r>
      <w:r w:rsidR="00484470">
        <w:t xml:space="preserve">ecisive day, so the main </w:t>
      </w:r>
      <w:r>
        <w:t>focus</w:t>
      </w:r>
      <w:r w:rsidR="00484470">
        <w:t xml:space="preserve"> is </w:t>
      </w:r>
      <w:r>
        <w:t>concentrated between</w:t>
      </w:r>
      <w:r w:rsidR="00484470">
        <w:t xml:space="preserve"> two dates, 31.12.13 and 31.12.14 (due to fact that specified assets, equity and liabilities were moved between this two dates).</w:t>
      </w:r>
    </w:p>
    <w:p w:rsidR="008355D9" w:rsidRPr="00DD001F" w:rsidRDefault="008355D9" w:rsidP="00484470">
      <w:pPr>
        <w:pStyle w:val="CM-body"/>
      </w:pPr>
    </w:p>
    <w:p w:rsidR="00484470" w:rsidRDefault="00484470" w:rsidP="00484470">
      <w:pPr>
        <w:pStyle w:val="CM-body"/>
      </w:pPr>
      <w:r>
        <w:t xml:space="preserve">From </w:t>
      </w:r>
      <w:r w:rsidRPr="009C1609">
        <w:rPr>
          <w:i/>
        </w:rPr>
        <w:t>Altman´s index calculation</w:t>
      </w:r>
      <w:r>
        <w:t xml:space="preserve"> (see Tab no 1 next) is clear that the process of splitting did not negatively influence the financial health of the original company, on contrary the Z-score increased from 1,42 to 1,62. This increase does not move the original company from the grey zone</w:t>
      </w:r>
      <w:r w:rsidR="00C60FBE">
        <w:t>, but demonstrate</w:t>
      </w:r>
      <w:r>
        <w:t xml:space="preserve"> improvement thanks to fact that Construction Company does not use transferred assets for own core business (sales and profit generation), so keeping of assets had negative effect to Z-score. This transaction also helped in assets optimization (keeping only assets that are useful for core business). One sub-part of the Z-score</w:t>
      </w:r>
      <w:r w:rsidR="008355D9">
        <w:t xml:space="preserve"> (X4)</w:t>
      </w:r>
      <w:r>
        <w:t xml:space="preserve"> is slightly worse after splitting (due to fact that part of Retained Earnings from previous years had to be moved to balance the moved assets).</w:t>
      </w:r>
    </w:p>
    <w:p w:rsidR="008355D9" w:rsidRDefault="008355D9" w:rsidP="00484470">
      <w:pPr>
        <w:pStyle w:val="CM-body"/>
      </w:pPr>
    </w:p>
    <w:p w:rsidR="00484470" w:rsidRDefault="00484470" w:rsidP="00484470">
      <w:pPr>
        <w:pStyle w:val="CM-body"/>
      </w:pPr>
      <w:r w:rsidRPr="00DD001F">
        <w:rPr>
          <w:i/>
        </w:rPr>
        <w:t xml:space="preserve">IN05 </w:t>
      </w:r>
      <w:r>
        <w:rPr>
          <w:i/>
        </w:rPr>
        <w:t xml:space="preserve">index calculation </w:t>
      </w:r>
      <w:r w:rsidRPr="00DD001F">
        <w:rPr>
          <w:i/>
        </w:rPr>
        <w:t>(</w:t>
      </w:r>
      <w:r>
        <w:rPr>
          <w:i/>
        </w:rPr>
        <w:t xml:space="preserve">see </w:t>
      </w:r>
      <w:r w:rsidRPr="00DD001F">
        <w:rPr>
          <w:i/>
        </w:rPr>
        <w:t xml:space="preserve">Tab </w:t>
      </w:r>
      <w:r>
        <w:rPr>
          <w:i/>
        </w:rPr>
        <w:t xml:space="preserve">no </w:t>
      </w:r>
      <w:r w:rsidRPr="00DD001F">
        <w:rPr>
          <w:i/>
        </w:rPr>
        <w:t>2</w:t>
      </w:r>
      <w:r>
        <w:rPr>
          <w:i/>
        </w:rPr>
        <w:t xml:space="preserve"> next</w:t>
      </w:r>
      <w:r w:rsidRPr="00DD001F">
        <w:rPr>
          <w:i/>
        </w:rPr>
        <w:t>)</w:t>
      </w:r>
      <w:r w:rsidRPr="00DD001F">
        <w:t xml:space="preserve"> </w:t>
      </w:r>
      <w:r>
        <w:t>gives similar results as Altman´s Z-</w:t>
      </w:r>
      <w:r w:rsidR="008355D9">
        <w:t xml:space="preserve">score, </w:t>
      </w:r>
      <w:r>
        <w:t>it keeps the company before and after the process of splitting in grey zone (see Figure no 1)</w:t>
      </w:r>
      <w:r w:rsidRPr="00DD001F">
        <w:t>.</w:t>
      </w:r>
    </w:p>
    <w:p w:rsidR="008355D9" w:rsidRPr="00DD001F" w:rsidRDefault="008355D9" w:rsidP="00484470">
      <w:pPr>
        <w:pStyle w:val="CM-body"/>
      </w:pPr>
    </w:p>
    <w:p w:rsidR="00484470" w:rsidRPr="00DD001F" w:rsidRDefault="00484470" w:rsidP="00484470">
      <w:pPr>
        <w:pStyle w:val="CM-body"/>
        <w:rPr>
          <w:i/>
        </w:rPr>
      </w:pPr>
      <w:r>
        <w:rPr>
          <w:i/>
        </w:rPr>
        <w:t xml:space="preserve">It is clear that the process of splitting the real estate assets (and all related assets, equity and liabilities specified above) from the construction company </w:t>
      </w:r>
      <w:r w:rsidR="00067728">
        <w:rPr>
          <w:i/>
        </w:rPr>
        <w:t>did</w:t>
      </w:r>
      <w:r>
        <w:rPr>
          <w:i/>
        </w:rPr>
        <w:t xml:space="preserve"> not negatively influence the financial </w:t>
      </w:r>
      <w:r w:rsidR="00067728">
        <w:rPr>
          <w:i/>
        </w:rPr>
        <w:t>health</w:t>
      </w:r>
      <w:r>
        <w:rPr>
          <w:i/>
        </w:rPr>
        <w:t xml:space="preserve"> of the original construction company. </w:t>
      </w:r>
    </w:p>
    <w:p w:rsidR="008355D9" w:rsidRDefault="008355D9">
      <w:pPr>
        <w:spacing w:after="160" w:line="259" w:lineRule="auto"/>
        <w:rPr>
          <w:rFonts w:ascii="Arial" w:hAnsi="Arial" w:cs="Arial"/>
          <w:b/>
        </w:rPr>
      </w:pPr>
      <w:r>
        <w:rPr>
          <w:rFonts w:ascii="Arial" w:hAnsi="Arial" w:cs="Arial"/>
          <w:b/>
        </w:rPr>
        <w:br w:type="page"/>
      </w:r>
    </w:p>
    <w:p w:rsidR="00484470" w:rsidRPr="00CC453E" w:rsidRDefault="00484470" w:rsidP="00484470">
      <w:pPr>
        <w:rPr>
          <w:rFonts w:cs="Arial"/>
          <w:b/>
          <w:sz w:val="20"/>
          <w:szCs w:val="20"/>
          <w:lang w:val="en-GB"/>
        </w:rPr>
      </w:pPr>
      <w:r w:rsidRPr="00CC453E">
        <w:rPr>
          <w:rFonts w:cs="Arial"/>
          <w:b/>
          <w:sz w:val="20"/>
          <w:szCs w:val="20"/>
          <w:lang w:val="en-GB"/>
        </w:rPr>
        <w:lastRenderedPageBreak/>
        <w:t>Table 1: Z-score calculation</w:t>
      </w:r>
      <w:r w:rsidR="006F5B07">
        <w:rPr>
          <w:rFonts w:cs="Arial"/>
          <w:b/>
          <w:sz w:val="20"/>
          <w:szCs w:val="20"/>
          <w:lang w:val="en-GB"/>
        </w:rPr>
        <w:t xml:space="preserve"> </w:t>
      </w:r>
      <w:r w:rsidR="006F5B07" w:rsidRPr="00C6494E">
        <w:rPr>
          <w:rFonts w:cs="Arial"/>
          <w:b/>
          <w:sz w:val="20"/>
          <w:szCs w:val="20"/>
          <w:lang w:val="en-GB"/>
        </w:rPr>
        <w:t>(source: author)</w:t>
      </w:r>
    </w:p>
    <w:tbl>
      <w:tblPr>
        <w:tblW w:w="8905" w:type="dxa"/>
        <w:tblInd w:w="55" w:type="dxa"/>
        <w:tblCellMar>
          <w:left w:w="70" w:type="dxa"/>
          <w:right w:w="70" w:type="dxa"/>
        </w:tblCellMar>
        <w:tblLook w:val="04A0" w:firstRow="1" w:lastRow="0" w:firstColumn="1" w:lastColumn="0" w:noHBand="0" w:noVBand="1"/>
      </w:tblPr>
      <w:tblGrid>
        <w:gridCol w:w="15"/>
        <w:gridCol w:w="351"/>
        <w:gridCol w:w="2697"/>
        <w:gridCol w:w="108"/>
        <w:gridCol w:w="82"/>
        <w:gridCol w:w="942"/>
        <w:gridCol w:w="921"/>
        <w:gridCol w:w="979"/>
        <w:gridCol w:w="921"/>
        <w:gridCol w:w="921"/>
        <w:gridCol w:w="822"/>
        <w:gridCol w:w="146"/>
      </w:tblGrid>
      <w:tr w:rsidR="00FE37B4" w:rsidRPr="00D27269" w:rsidTr="0039626E">
        <w:trPr>
          <w:gridAfter w:val="2"/>
          <w:wAfter w:w="968" w:type="dxa"/>
          <w:trHeight w:val="273"/>
        </w:trPr>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2697"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center"/>
              <w:rPr>
                <w:rFonts w:ascii="Calibri" w:eastAsia="Times New Roman" w:hAnsi="Calibri" w:cs="Times New Roman"/>
                <w:i/>
                <w:iCs/>
              </w:rPr>
            </w:pPr>
            <w:r w:rsidRPr="00D27269">
              <w:rPr>
                <w:rFonts w:ascii="Calibri" w:eastAsia="Times New Roman" w:hAnsi="Calibri" w:cs="Times New Roman"/>
                <w:i/>
                <w:iCs/>
              </w:rPr>
              <w:t>Altman´s</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center"/>
              <w:rPr>
                <w:rFonts w:ascii="Calibri" w:eastAsia="Times New Roman" w:hAnsi="Calibri" w:cs="Times New Roman"/>
              </w:rPr>
            </w:pPr>
            <w:r w:rsidRPr="00D27269">
              <w:rPr>
                <w:rFonts w:ascii="Calibri" w:eastAsia="Times New Roman" w:hAnsi="Calibri" w:cs="Times New Roman"/>
              </w:rPr>
              <w:t>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center"/>
              <w:rPr>
                <w:rFonts w:ascii="Calibri" w:eastAsia="Times New Roman" w:hAnsi="Calibri" w:cs="Times New Roman"/>
              </w:rPr>
            </w:pPr>
            <w:r w:rsidRPr="00D27269">
              <w:rPr>
                <w:rFonts w:ascii="Calibri" w:eastAsia="Times New Roman" w:hAnsi="Calibri" w:cs="Times New Roman"/>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r>
      <w:tr w:rsidR="00FE37B4" w:rsidRPr="00D27269" w:rsidTr="0039626E">
        <w:trPr>
          <w:gridAfter w:val="2"/>
          <w:wAfter w:w="968" w:type="dxa"/>
          <w:trHeight w:val="273"/>
        </w:trPr>
        <w:tc>
          <w:tcPr>
            <w:tcW w:w="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2697"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u w:val="single"/>
              </w:rPr>
            </w:pPr>
            <w:r w:rsidRPr="00D27269">
              <w:rPr>
                <w:rFonts w:ascii="Calibri" w:eastAsia="Times New Roman" w:hAnsi="Calibri" w:cs="Times New Roman"/>
                <w:bCs/>
                <w:u w:val="single"/>
              </w:rPr>
              <w:t>Altman´s index</w:t>
            </w:r>
          </w:p>
        </w:tc>
        <w:tc>
          <w:tcPr>
            <w:tcW w:w="190" w:type="dxa"/>
            <w:gridSpan w:val="2"/>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42"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center"/>
              <w:rPr>
                <w:rFonts w:ascii="Calibri" w:eastAsia="Times New Roman" w:hAnsi="Calibri" w:cs="Times New Roman"/>
                <w:i/>
                <w:iCs/>
              </w:rPr>
            </w:pPr>
            <w:r w:rsidRPr="00D27269">
              <w:rPr>
                <w:rFonts w:ascii="Calibri" w:eastAsia="Times New Roman" w:hAnsi="Calibri" w:cs="Times New Roman"/>
                <w:i/>
                <w:iCs/>
              </w:rPr>
              <w:t>index</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31.12.14</w:t>
            </w:r>
          </w:p>
        </w:tc>
        <w:tc>
          <w:tcPr>
            <w:tcW w:w="979"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proofErr w:type="gramStart"/>
            <w:r w:rsidRPr="00D27269">
              <w:rPr>
                <w:rFonts w:ascii="Calibri" w:eastAsia="Times New Roman" w:hAnsi="Calibri" w:cs="Times New Roman"/>
                <w:bCs/>
              </w:rPr>
              <w:t>31.12.13</w:t>
            </w:r>
            <w:proofErr w:type="gramEnd"/>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31.12.12</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31.12.11</w:t>
            </w:r>
          </w:p>
        </w:tc>
      </w:tr>
      <w:tr w:rsidR="00FE37B4" w:rsidRPr="00D27269" w:rsidTr="0039626E">
        <w:trPr>
          <w:gridAfter w:val="2"/>
          <w:wAfter w:w="968" w:type="dxa"/>
          <w:trHeight w:val="273"/>
        </w:trPr>
        <w:tc>
          <w:tcPr>
            <w:tcW w:w="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X1</w:t>
            </w:r>
          </w:p>
        </w:tc>
        <w:tc>
          <w:tcPr>
            <w:tcW w:w="2697"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NWC/</w:t>
            </w:r>
            <w:r w:rsidRPr="003B3F43">
              <w:rPr>
                <w:rFonts w:ascii="Calibri" w:eastAsia="Times New Roman" w:hAnsi="Calibri" w:cs="Times New Roman"/>
                <w:bCs/>
              </w:rPr>
              <w:t>TA</w:t>
            </w:r>
          </w:p>
        </w:tc>
        <w:tc>
          <w:tcPr>
            <w:tcW w:w="190" w:type="dxa"/>
            <w:gridSpan w:val="2"/>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 </w:t>
            </w:r>
          </w:p>
        </w:tc>
        <w:tc>
          <w:tcPr>
            <w:tcW w:w="942"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0,717</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0,3375</w:t>
            </w:r>
          </w:p>
        </w:tc>
        <w:tc>
          <w:tcPr>
            <w:tcW w:w="979"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0,3381</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0,2074</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0,2504</w:t>
            </w:r>
          </w:p>
        </w:tc>
      </w:tr>
      <w:tr w:rsidR="00FE37B4" w:rsidRPr="00D27269" w:rsidTr="0039626E">
        <w:trPr>
          <w:gridAfter w:val="2"/>
          <w:wAfter w:w="968" w:type="dxa"/>
          <w:trHeight w:val="273"/>
        </w:trPr>
        <w:tc>
          <w:tcPr>
            <w:tcW w:w="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X2</w:t>
            </w:r>
          </w:p>
        </w:tc>
        <w:tc>
          <w:tcPr>
            <w:tcW w:w="2697"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3B3F43">
              <w:rPr>
                <w:rFonts w:ascii="Calibri" w:eastAsia="Times New Roman" w:hAnsi="Calibri" w:cs="Times New Roman"/>
                <w:bCs/>
              </w:rPr>
              <w:t>RE/TA</w:t>
            </w:r>
          </w:p>
        </w:tc>
        <w:tc>
          <w:tcPr>
            <w:tcW w:w="190" w:type="dxa"/>
            <w:gridSpan w:val="2"/>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 </w:t>
            </w:r>
          </w:p>
        </w:tc>
        <w:tc>
          <w:tcPr>
            <w:tcW w:w="942"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0,847</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0,0000</w:t>
            </w:r>
          </w:p>
        </w:tc>
        <w:tc>
          <w:tcPr>
            <w:tcW w:w="979"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0,0716</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0,0699</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0,0755</w:t>
            </w:r>
          </w:p>
        </w:tc>
      </w:tr>
      <w:tr w:rsidR="00FE37B4" w:rsidRPr="00D27269" w:rsidTr="0039626E">
        <w:trPr>
          <w:gridAfter w:val="2"/>
          <w:wAfter w:w="968" w:type="dxa"/>
          <w:trHeight w:val="273"/>
        </w:trPr>
        <w:tc>
          <w:tcPr>
            <w:tcW w:w="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X3</w:t>
            </w:r>
          </w:p>
        </w:tc>
        <w:tc>
          <w:tcPr>
            <w:tcW w:w="2697"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EBIT/</w:t>
            </w:r>
            <w:r w:rsidRPr="003B3F43">
              <w:rPr>
                <w:rFonts w:ascii="Calibri" w:eastAsia="Times New Roman" w:hAnsi="Calibri" w:cs="Times New Roman"/>
                <w:bCs/>
              </w:rPr>
              <w:t>TA</w:t>
            </w:r>
          </w:p>
        </w:tc>
        <w:tc>
          <w:tcPr>
            <w:tcW w:w="190" w:type="dxa"/>
            <w:gridSpan w:val="2"/>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42"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3,107</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0,0463</w:t>
            </w:r>
          </w:p>
        </w:tc>
        <w:tc>
          <w:tcPr>
            <w:tcW w:w="979"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0,0449</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0,0613</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0,0754</w:t>
            </w:r>
          </w:p>
        </w:tc>
      </w:tr>
      <w:tr w:rsidR="00FE37B4" w:rsidRPr="00D27269" w:rsidTr="0039626E">
        <w:trPr>
          <w:gridAfter w:val="2"/>
          <w:wAfter w:w="968" w:type="dxa"/>
          <w:trHeight w:val="273"/>
        </w:trPr>
        <w:tc>
          <w:tcPr>
            <w:tcW w:w="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X4</w:t>
            </w:r>
          </w:p>
        </w:tc>
        <w:tc>
          <w:tcPr>
            <w:tcW w:w="2697"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3B3F43">
              <w:rPr>
                <w:rFonts w:ascii="Calibri" w:eastAsia="Times New Roman" w:hAnsi="Calibri" w:cs="Times New Roman"/>
                <w:bCs/>
              </w:rPr>
              <w:t>Equity/Liability</w:t>
            </w:r>
          </w:p>
        </w:tc>
        <w:tc>
          <w:tcPr>
            <w:tcW w:w="190" w:type="dxa"/>
            <w:gridSpan w:val="2"/>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42"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0,42</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0,2278</w:t>
            </w:r>
          </w:p>
        </w:tc>
        <w:tc>
          <w:tcPr>
            <w:tcW w:w="979"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0,3700</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0,3541</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0,4061</w:t>
            </w:r>
          </w:p>
        </w:tc>
      </w:tr>
      <w:tr w:rsidR="00FE37B4" w:rsidRPr="00D27269" w:rsidTr="0039626E">
        <w:trPr>
          <w:gridAfter w:val="2"/>
          <w:wAfter w:w="968" w:type="dxa"/>
          <w:trHeight w:val="273"/>
        </w:trPr>
        <w:tc>
          <w:tcPr>
            <w:tcW w:w="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X5</w:t>
            </w:r>
          </w:p>
        </w:tc>
        <w:tc>
          <w:tcPr>
            <w:tcW w:w="2697"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3B3F43">
              <w:rPr>
                <w:rFonts w:ascii="Calibri" w:eastAsia="Times New Roman" w:hAnsi="Calibri" w:cs="Times New Roman"/>
                <w:bCs/>
              </w:rPr>
              <w:t>S/TA</w:t>
            </w:r>
          </w:p>
        </w:tc>
        <w:tc>
          <w:tcPr>
            <w:tcW w:w="190" w:type="dxa"/>
            <w:gridSpan w:val="2"/>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42"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0,998</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1,1395</w:t>
            </w:r>
          </w:p>
        </w:tc>
        <w:tc>
          <w:tcPr>
            <w:tcW w:w="979"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0,8211</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1,2381</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bCs/>
              </w:rPr>
            </w:pPr>
            <w:r w:rsidRPr="00D27269">
              <w:rPr>
                <w:rFonts w:ascii="Calibri" w:eastAsia="Times New Roman" w:hAnsi="Calibri" w:cs="Times New Roman"/>
                <w:bCs/>
              </w:rPr>
              <w:t>1,3268</w:t>
            </w:r>
          </w:p>
        </w:tc>
      </w:tr>
      <w:tr w:rsidR="00FE37B4" w:rsidRPr="00D27269" w:rsidTr="0039626E">
        <w:trPr>
          <w:gridAfter w:val="2"/>
          <w:wAfter w:w="968" w:type="dxa"/>
          <w:trHeight w:val="287"/>
        </w:trPr>
        <w:tc>
          <w:tcPr>
            <w:tcW w:w="366" w:type="dxa"/>
            <w:gridSpan w:val="2"/>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2697" w:type="dxa"/>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190" w:type="dxa"/>
            <w:gridSpan w:val="2"/>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921" w:type="dxa"/>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979" w:type="dxa"/>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921" w:type="dxa"/>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c>
          <w:tcPr>
            <w:tcW w:w="921" w:type="dxa"/>
            <w:tcBorders>
              <w:top w:val="nil"/>
              <w:left w:val="nil"/>
              <w:bottom w:val="nil"/>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p>
        </w:tc>
      </w:tr>
      <w:tr w:rsidR="00FE37B4" w:rsidRPr="00D27269" w:rsidTr="0039626E">
        <w:trPr>
          <w:gridAfter w:val="2"/>
          <w:wAfter w:w="968" w:type="dxa"/>
          <w:trHeight w:val="287"/>
        </w:trPr>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Z</w:t>
            </w:r>
          </w:p>
        </w:tc>
        <w:tc>
          <w:tcPr>
            <w:tcW w:w="2697" w:type="dxa"/>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bCs/>
              </w:rPr>
            </w:pPr>
            <w:r w:rsidRPr="00D27269">
              <w:rPr>
                <w:rFonts w:ascii="Calibri" w:eastAsia="Times New Roman" w:hAnsi="Calibri" w:cs="Times New Roman"/>
                <w:bCs/>
              </w:rPr>
              <w:t>Altman´s index</w:t>
            </w:r>
          </w:p>
        </w:tc>
        <w:tc>
          <w:tcPr>
            <w:tcW w:w="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42" w:type="dxa"/>
            <w:tcBorders>
              <w:top w:val="single" w:sz="4" w:space="0" w:color="auto"/>
              <w:left w:val="nil"/>
              <w:bottom w:val="single" w:sz="4" w:space="0" w:color="auto"/>
              <w:right w:val="nil"/>
            </w:tcBorders>
            <w:shd w:val="clear" w:color="auto" w:fill="auto"/>
            <w:noWrap/>
            <w:vAlign w:val="bottom"/>
            <w:hideMark/>
          </w:tcPr>
          <w:p w:rsidR="00FE37B4" w:rsidRPr="00D27269" w:rsidRDefault="00FE37B4" w:rsidP="00D27269">
            <w:pPr>
              <w:spacing w:after="0" w:line="240" w:lineRule="auto"/>
              <w:rPr>
                <w:rFonts w:ascii="Calibri" w:eastAsia="Times New Roman" w:hAnsi="Calibri" w:cs="Times New Roman"/>
              </w:rPr>
            </w:pPr>
            <w:r w:rsidRPr="00D27269">
              <w:rPr>
                <w:rFonts w:ascii="Calibri" w:eastAsia="Times New Roman" w:hAnsi="Calibri" w:cs="Times New Roman"/>
              </w:rPr>
              <w:t> </w:t>
            </w:r>
          </w:p>
        </w:tc>
        <w:tc>
          <w:tcPr>
            <w:tcW w:w="92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rPr>
            </w:pPr>
            <w:r w:rsidRPr="00D27269">
              <w:rPr>
                <w:rFonts w:ascii="Calibri" w:eastAsia="Times New Roman" w:hAnsi="Calibri" w:cs="Times New Roman"/>
              </w:rPr>
              <w:t>1,62</w:t>
            </w:r>
          </w:p>
        </w:tc>
        <w:tc>
          <w:tcPr>
            <w:tcW w:w="979" w:type="dxa"/>
            <w:tcBorders>
              <w:top w:val="single" w:sz="8" w:space="0" w:color="auto"/>
              <w:left w:val="nil"/>
              <w:bottom w:val="single" w:sz="8"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rPr>
            </w:pPr>
            <w:r w:rsidRPr="00D27269">
              <w:rPr>
                <w:rFonts w:ascii="Calibri" w:eastAsia="Times New Roman" w:hAnsi="Calibri" w:cs="Times New Roman"/>
              </w:rPr>
              <w:t>1,42</w:t>
            </w:r>
          </w:p>
        </w:tc>
        <w:tc>
          <w:tcPr>
            <w:tcW w:w="921" w:type="dxa"/>
            <w:tcBorders>
              <w:top w:val="single" w:sz="8" w:space="0" w:color="auto"/>
              <w:left w:val="nil"/>
              <w:bottom w:val="single" w:sz="8" w:space="0" w:color="auto"/>
              <w:right w:val="single" w:sz="4"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rPr>
            </w:pPr>
            <w:r w:rsidRPr="00D27269">
              <w:rPr>
                <w:rFonts w:ascii="Calibri" w:eastAsia="Times New Roman" w:hAnsi="Calibri" w:cs="Times New Roman"/>
              </w:rPr>
              <w:t>1,78</w:t>
            </w:r>
          </w:p>
        </w:tc>
        <w:tc>
          <w:tcPr>
            <w:tcW w:w="921" w:type="dxa"/>
            <w:tcBorders>
              <w:top w:val="single" w:sz="8" w:space="0" w:color="auto"/>
              <w:left w:val="nil"/>
              <w:bottom w:val="single" w:sz="8" w:space="0" w:color="auto"/>
              <w:right w:val="single" w:sz="8" w:space="0" w:color="auto"/>
            </w:tcBorders>
            <w:shd w:val="clear" w:color="auto" w:fill="auto"/>
            <w:noWrap/>
            <w:vAlign w:val="bottom"/>
            <w:hideMark/>
          </w:tcPr>
          <w:p w:rsidR="00FE37B4" w:rsidRPr="00D27269" w:rsidRDefault="00FE37B4" w:rsidP="00D27269">
            <w:pPr>
              <w:spacing w:after="0" w:line="240" w:lineRule="auto"/>
              <w:jc w:val="right"/>
              <w:rPr>
                <w:rFonts w:ascii="Calibri" w:eastAsia="Times New Roman" w:hAnsi="Calibri" w:cs="Times New Roman"/>
              </w:rPr>
            </w:pPr>
            <w:r w:rsidRPr="00D27269">
              <w:rPr>
                <w:rFonts w:ascii="Calibri" w:eastAsia="Times New Roman" w:hAnsi="Calibri" w:cs="Times New Roman"/>
              </w:rPr>
              <w:t>1,97</w:t>
            </w:r>
          </w:p>
        </w:tc>
      </w:tr>
      <w:tr w:rsidR="003B3F43" w:rsidRPr="00AB175A" w:rsidTr="0039626E">
        <w:trPr>
          <w:gridBefore w:val="1"/>
          <w:wBefore w:w="15" w:type="dxa"/>
          <w:trHeight w:val="300"/>
        </w:trPr>
        <w:tc>
          <w:tcPr>
            <w:tcW w:w="3156" w:type="dxa"/>
            <w:gridSpan w:val="3"/>
            <w:tcBorders>
              <w:top w:val="nil"/>
              <w:left w:val="nil"/>
              <w:bottom w:val="nil"/>
              <w:right w:val="nil"/>
            </w:tcBorders>
            <w:shd w:val="clear" w:color="auto" w:fill="auto"/>
            <w:noWrap/>
            <w:vAlign w:val="bottom"/>
            <w:hideMark/>
          </w:tcPr>
          <w:p w:rsidR="003B3F43" w:rsidRPr="003E154D" w:rsidRDefault="003B3F43" w:rsidP="0074626B">
            <w:pPr>
              <w:spacing w:after="0" w:line="240" w:lineRule="auto"/>
              <w:rPr>
                <w:rFonts w:ascii="Calibri" w:eastAsia="Times New Roman" w:hAnsi="Calibri" w:cs="Times New Roman"/>
                <w:bCs/>
                <w:color w:val="000000"/>
              </w:rPr>
            </w:pPr>
            <w:r w:rsidRPr="003E154D">
              <w:rPr>
                <w:rFonts w:ascii="Calibri" w:eastAsia="Times New Roman" w:hAnsi="Calibri" w:cs="Times New Roman"/>
                <w:bCs/>
                <w:color w:val="000000"/>
              </w:rPr>
              <w:t>Z &gt; 2,9</w:t>
            </w:r>
          </w:p>
        </w:tc>
        <w:tc>
          <w:tcPr>
            <w:tcW w:w="5734" w:type="dxa"/>
            <w:gridSpan w:val="8"/>
            <w:tcBorders>
              <w:top w:val="nil"/>
              <w:left w:val="nil"/>
              <w:bottom w:val="nil"/>
              <w:right w:val="nil"/>
            </w:tcBorders>
            <w:shd w:val="clear" w:color="auto" w:fill="auto"/>
            <w:noWrap/>
            <w:vAlign w:val="bottom"/>
            <w:hideMark/>
          </w:tcPr>
          <w:p w:rsidR="003B3F43" w:rsidRPr="00CB1966" w:rsidRDefault="003B3F43" w:rsidP="0074626B">
            <w:pPr>
              <w:spacing w:after="0" w:line="240" w:lineRule="auto"/>
              <w:jc w:val="both"/>
              <w:rPr>
                <w:rFonts w:ascii="Calibri" w:eastAsia="Times New Roman" w:hAnsi="Calibri" w:cs="Times New Roman"/>
                <w:color w:val="000000"/>
                <w:lang w:val="en-GB"/>
              </w:rPr>
            </w:pPr>
            <w:r w:rsidRPr="00CB1966">
              <w:rPr>
                <w:rFonts w:ascii="Calibri" w:eastAsia="Times New Roman" w:hAnsi="Calibri" w:cs="Times New Roman"/>
                <w:i/>
                <w:color w:val="000000"/>
                <w:lang w:val="en-GB"/>
              </w:rPr>
              <w:t>Financial</w:t>
            </w:r>
            <w:r>
              <w:rPr>
                <w:rFonts w:ascii="Calibri" w:eastAsia="Times New Roman" w:hAnsi="Calibri" w:cs="Times New Roman"/>
                <w:i/>
                <w:color w:val="000000"/>
                <w:lang w:val="en-GB"/>
              </w:rPr>
              <w:t>ly health</w:t>
            </w:r>
            <w:r w:rsidRPr="00CB1966">
              <w:rPr>
                <w:rFonts w:ascii="Calibri" w:eastAsia="Times New Roman" w:hAnsi="Calibri" w:cs="Times New Roman"/>
                <w:i/>
                <w:color w:val="000000"/>
                <w:lang w:val="en-GB"/>
              </w:rPr>
              <w:t xml:space="preserve"> company</w:t>
            </w:r>
            <w:r w:rsidRPr="00CB1966">
              <w:rPr>
                <w:rFonts w:ascii="Calibri" w:eastAsia="Times New Roman" w:hAnsi="Calibri" w:cs="Times New Roman"/>
                <w:color w:val="000000"/>
                <w:lang w:val="en-GB"/>
              </w:rPr>
              <w:t>, not in danger of bankruptcy</w:t>
            </w:r>
            <w:r>
              <w:rPr>
                <w:rFonts w:ascii="Calibri" w:eastAsia="Times New Roman" w:hAnsi="Calibri" w:cs="Times New Roman"/>
                <w:color w:val="000000"/>
                <w:lang w:val="en-GB"/>
              </w:rPr>
              <w:t xml:space="preserve"> in short period</w:t>
            </w:r>
            <w:r w:rsidRPr="00CB1966">
              <w:rPr>
                <w:rFonts w:ascii="Calibri" w:eastAsia="Times New Roman" w:hAnsi="Calibri" w:cs="Times New Roman"/>
                <w:color w:val="000000"/>
                <w:lang w:val="en-GB"/>
              </w:rPr>
              <w:t xml:space="preserve"> </w:t>
            </w:r>
          </w:p>
        </w:tc>
      </w:tr>
      <w:tr w:rsidR="003B3F43" w:rsidRPr="00AB175A" w:rsidTr="0039626E">
        <w:trPr>
          <w:gridBefore w:val="1"/>
          <w:wBefore w:w="15" w:type="dxa"/>
          <w:trHeight w:val="300"/>
        </w:trPr>
        <w:tc>
          <w:tcPr>
            <w:tcW w:w="3156" w:type="dxa"/>
            <w:gridSpan w:val="3"/>
            <w:tcBorders>
              <w:top w:val="nil"/>
              <w:left w:val="nil"/>
              <w:bottom w:val="nil"/>
              <w:right w:val="nil"/>
            </w:tcBorders>
            <w:shd w:val="clear" w:color="auto" w:fill="auto"/>
            <w:noWrap/>
            <w:vAlign w:val="bottom"/>
            <w:hideMark/>
          </w:tcPr>
          <w:p w:rsidR="003B3F43" w:rsidRPr="003E154D" w:rsidRDefault="003B3F43" w:rsidP="0074626B">
            <w:pPr>
              <w:spacing w:after="0" w:line="240" w:lineRule="auto"/>
              <w:rPr>
                <w:rFonts w:ascii="Calibri" w:eastAsia="Times New Roman" w:hAnsi="Calibri" w:cs="Times New Roman"/>
                <w:bCs/>
                <w:i/>
                <w:color w:val="000000"/>
              </w:rPr>
            </w:pPr>
            <w:r w:rsidRPr="003E154D">
              <w:rPr>
                <w:rFonts w:ascii="Calibri" w:eastAsia="Times New Roman" w:hAnsi="Calibri" w:cs="Times New Roman"/>
                <w:bCs/>
                <w:i/>
                <w:color w:val="000000"/>
              </w:rPr>
              <w:t>1,23 &lt;  Z  &lt; 2,89</w:t>
            </w:r>
          </w:p>
        </w:tc>
        <w:tc>
          <w:tcPr>
            <w:tcW w:w="5734" w:type="dxa"/>
            <w:gridSpan w:val="8"/>
            <w:tcBorders>
              <w:top w:val="nil"/>
              <w:left w:val="nil"/>
              <w:bottom w:val="nil"/>
              <w:right w:val="nil"/>
            </w:tcBorders>
            <w:shd w:val="clear" w:color="auto" w:fill="auto"/>
            <w:noWrap/>
            <w:vAlign w:val="bottom"/>
            <w:hideMark/>
          </w:tcPr>
          <w:p w:rsidR="003B3F43" w:rsidRPr="00CB1966" w:rsidRDefault="003B3F43" w:rsidP="0074626B">
            <w:pPr>
              <w:spacing w:after="0" w:line="240" w:lineRule="auto"/>
              <w:rPr>
                <w:rFonts w:ascii="Calibri" w:eastAsia="Times New Roman" w:hAnsi="Calibri" w:cs="Times New Roman"/>
                <w:color w:val="000000"/>
                <w:lang w:val="en-GB"/>
              </w:rPr>
            </w:pPr>
            <w:r w:rsidRPr="00CB1966">
              <w:rPr>
                <w:rFonts w:ascii="Calibri" w:eastAsia="Times New Roman" w:hAnsi="Calibri" w:cs="Times New Roman"/>
                <w:i/>
                <w:color w:val="000000"/>
                <w:lang w:val="en-GB"/>
              </w:rPr>
              <w:t>grey zone</w:t>
            </w:r>
            <w:r w:rsidRPr="00CB1966">
              <w:rPr>
                <w:rFonts w:ascii="Calibri" w:eastAsia="Times New Roman" w:hAnsi="Calibri" w:cs="Times New Roman"/>
                <w:color w:val="000000"/>
                <w:lang w:val="en-GB"/>
              </w:rPr>
              <w:t xml:space="preserve"> </w:t>
            </w:r>
            <w:r>
              <w:rPr>
                <w:rFonts w:ascii="Calibri" w:eastAsia="Times New Roman" w:hAnsi="Calibri" w:cs="Times New Roman"/>
                <w:color w:val="000000"/>
                <w:lang w:val="en-GB"/>
              </w:rPr>
              <w:t>–</w:t>
            </w:r>
            <w:r w:rsidRPr="00CB1966">
              <w:rPr>
                <w:rFonts w:ascii="Calibri" w:eastAsia="Times New Roman" w:hAnsi="Calibri" w:cs="Times New Roman"/>
                <w:color w:val="000000"/>
                <w:lang w:val="en-GB"/>
              </w:rPr>
              <w:t xml:space="preserve"> </w:t>
            </w:r>
            <w:r>
              <w:rPr>
                <w:rFonts w:ascii="Calibri" w:eastAsia="Times New Roman" w:hAnsi="Calibri" w:cs="Times New Roman"/>
                <w:color w:val="000000"/>
                <w:lang w:val="en-GB"/>
              </w:rPr>
              <w:t>not clear decision related to financial health</w:t>
            </w:r>
          </w:p>
        </w:tc>
      </w:tr>
      <w:tr w:rsidR="003B3F43" w:rsidRPr="00AB175A" w:rsidTr="0039626E">
        <w:trPr>
          <w:gridBefore w:val="1"/>
          <w:wBefore w:w="15" w:type="dxa"/>
          <w:trHeight w:val="300"/>
        </w:trPr>
        <w:tc>
          <w:tcPr>
            <w:tcW w:w="3156" w:type="dxa"/>
            <w:gridSpan w:val="3"/>
            <w:tcBorders>
              <w:top w:val="nil"/>
              <w:left w:val="nil"/>
              <w:bottom w:val="nil"/>
              <w:right w:val="nil"/>
            </w:tcBorders>
            <w:shd w:val="clear" w:color="auto" w:fill="auto"/>
            <w:noWrap/>
            <w:vAlign w:val="bottom"/>
            <w:hideMark/>
          </w:tcPr>
          <w:p w:rsidR="003B3F43" w:rsidRPr="003E154D" w:rsidRDefault="003B3F43" w:rsidP="0074626B">
            <w:pPr>
              <w:spacing w:after="0" w:line="240" w:lineRule="auto"/>
              <w:rPr>
                <w:rFonts w:ascii="Calibri" w:eastAsia="Times New Roman" w:hAnsi="Calibri" w:cs="Times New Roman"/>
                <w:bCs/>
                <w:color w:val="000000"/>
              </w:rPr>
            </w:pPr>
            <w:r w:rsidRPr="003E154D">
              <w:rPr>
                <w:rFonts w:ascii="Calibri" w:eastAsia="Times New Roman" w:hAnsi="Calibri" w:cs="Times New Roman"/>
                <w:bCs/>
                <w:color w:val="000000"/>
              </w:rPr>
              <w:t>Z  &lt;  1,23</w:t>
            </w:r>
          </w:p>
        </w:tc>
        <w:tc>
          <w:tcPr>
            <w:tcW w:w="5588" w:type="dxa"/>
            <w:gridSpan w:val="7"/>
            <w:tcBorders>
              <w:top w:val="nil"/>
              <w:left w:val="nil"/>
              <w:bottom w:val="nil"/>
              <w:right w:val="nil"/>
            </w:tcBorders>
            <w:shd w:val="clear" w:color="auto" w:fill="auto"/>
            <w:noWrap/>
            <w:vAlign w:val="bottom"/>
            <w:hideMark/>
          </w:tcPr>
          <w:p w:rsidR="003B3F43" w:rsidRPr="00CB1966" w:rsidRDefault="003B3F43" w:rsidP="0074626B">
            <w:pPr>
              <w:spacing w:after="0" w:line="240" w:lineRule="auto"/>
              <w:rPr>
                <w:rFonts w:ascii="Calibri" w:eastAsia="Times New Roman" w:hAnsi="Calibri" w:cs="Times New Roman"/>
                <w:color w:val="000000"/>
                <w:lang w:val="en-GB"/>
              </w:rPr>
            </w:pPr>
            <w:r w:rsidRPr="00CB1966">
              <w:rPr>
                <w:rFonts w:ascii="Calibri" w:eastAsia="Times New Roman" w:hAnsi="Calibri" w:cs="Times New Roman"/>
                <w:i/>
                <w:color w:val="000000"/>
                <w:lang w:val="en-GB"/>
              </w:rPr>
              <w:t>Company is not financially healthy</w:t>
            </w:r>
            <w:r>
              <w:rPr>
                <w:rFonts w:ascii="Calibri" w:eastAsia="Times New Roman" w:hAnsi="Calibri" w:cs="Times New Roman"/>
                <w:color w:val="000000"/>
                <w:lang w:val="en-GB"/>
              </w:rPr>
              <w:t>, in danger of bankruptcy</w:t>
            </w:r>
          </w:p>
        </w:tc>
        <w:tc>
          <w:tcPr>
            <w:tcW w:w="146" w:type="dxa"/>
            <w:tcBorders>
              <w:top w:val="nil"/>
              <w:left w:val="nil"/>
              <w:bottom w:val="nil"/>
              <w:right w:val="nil"/>
            </w:tcBorders>
            <w:shd w:val="clear" w:color="auto" w:fill="auto"/>
            <w:noWrap/>
            <w:vAlign w:val="bottom"/>
            <w:hideMark/>
          </w:tcPr>
          <w:p w:rsidR="003B3F43" w:rsidRPr="00AB175A" w:rsidRDefault="003B3F43" w:rsidP="0074626B">
            <w:pPr>
              <w:spacing w:after="0" w:line="240" w:lineRule="auto"/>
              <w:rPr>
                <w:rFonts w:ascii="Calibri" w:eastAsia="Times New Roman" w:hAnsi="Calibri" w:cs="Times New Roman"/>
                <w:color w:val="000000"/>
              </w:rPr>
            </w:pPr>
          </w:p>
        </w:tc>
      </w:tr>
    </w:tbl>
    <w:p w:rsidR="003B3F43" w:rsidRDefault="003B3F43" w:rsidP="003B3F43">
      <w:pPr>
        <w:rPr>
          <w:rFonts w:ascii="Arial" w:hAnsi="Arial" w:cs="Arial"/>
          <w:b/>
        </w:rPr>
      </w:pPr>
    </w:p>
    <w:p w:rsidR="004700E6" w:rsidRPr="00B44324" w:rsidRDefault="004700E6" w:rsidP="004700E6">
      <w:pPr>
        <w:rPr>
          <w:rFonts w:cs="Arial"/>
          <w:b/>
          <w:sz w:val="20"/>
          <w:szCs w:val="20"/>
          <w:lang w:val="en-GB"/>
        </w:rPr>
      </w:pPr>
      <w:r w:rsidRPr="00B44324">
        <w:rPr>
          <w:rFonts w:cs="Arial"/>
          <w:b/>
          <w:sz w:val="20"/>
          <w:szCs w:val="20"/>
          <w:lang w:val="en-GB"/>
        </w:rPr>
        <w:t>Table 2: IN05 calculation</w:t>
      </w:r>
      <w:r w:rsidR="00C6494E">
        <w:rPr>
          <w:rFonts w:cs="Arial"/>
          <w:b/>
          <w:sz w:val="20"/>
          <w:szCs w:val="20"/>
          <w:lang w:val="en-GB"/>
        </w:rPr>
        <w:t xml:space="preserve"> </w:t>
      </w:r>
      <w:r w:rsidR="00C6494E" w:rsidRPr="00C6494E">
        <w:rPr>
          <w:rFonts w:cs="Arial"/>
          <w:b/>
          <w:sz w:val="20"/>
          <w:szCs w:val="20"/>
          <w:lang w:val="en-GB"/>
        </w:rPr>
        <w:t>(source: author)</w:t>
      </w:r>
    </w:p>
    <w:tbl>
      <w:tblPr>
        <w:tblW w:w="7978" w:type="dxa"/>
        <w:tblInd w:w="53" w:type="dxa"/>
        <w:tblCellMar>
          <w:left w:w="70" w:type="dxa"/>
          <w:right w:w="70" w:type="dxa"/>
        </w:tblCellMar>
        <w:tblLook w:val="04A0" w:firstRow="1" w:lastRow="0" w:firstColumn="1" w:lastColumn="0" w:noHBand="0" w:noVBand="1"/>
      </w:tblPr>
      <w:tblGrid>
        <w:gridCol w:w="2882"/>
        <w:gridCol w:w="190"/>
        <w:gridCol w:w="68"/>
        <w:gridCol w:w="923"/>
        <w:gridCol w:w="921"/>
        <w:gridCol w:w="1046"/>
        <w:gridCol w:w="973"/>
        <w:gridCol w:w="975"/>
      </w:tblGrid>
      <w:tr w:rsidR="00FE37B4" w:rsidRPr="004700E6" w:rsidTr="00FE37B4">
        <w:trPr>
          <w:trHeight w:val="267"/>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IN index</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center"/>
              <w:rPr>
                <w:rFonts w:ascii="Calibri" w:eastAsia="Times New Roman" w:hAnsi="Calibri" w:cs="Times New Roman"/>
                <w:i/>
                <w:iCs/>
                <w:color w:val="000000"/>
              </w:rPr>
            </w:pPr>
            <w:r w:rsidRPr="004700E6">
              <w:rPr>
                <w:rFonts w:ascii="Calibri" w:eastAsia="Times New Roman" w:hAnsi="Calibri" w:cs="Times New Roman"/>
                <w:i/>
                <w:iCs/>
                <w:color w:val="000000"/>
              </w:rPr>
              <w:t>Index</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center"/>
              <w:rPr>
                <w:rFonts w:ascii="Calibri" w:eastAsia="Times New Roman" w:hAnsi="Calibri" w:cs="Times New Roman"/>
                <w:i/>
                <w:iCs/>
                <w:color w:val="000000"/>
              </w:rPr>
            </w:pPr>
            <w:r w:rsidRPr="004700E6">
              <w:rPr>
                <w:rFonts w:ascii="Calibri" w:eastAsia="Times New Roman" w:hAnsi="Calibri" w:cs="Times New Roman"/>
                <w:i/>
                <w:iCs/>
                <w:color w:val="000000"/>
              </w:rPr>
              <w:t>31.12.14</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proofErr w:type="gramStart"/>
            <w:r w:rsidRPr="004700E6">
              <w:rPr>
                <w:rFonts w:ascii="Calibri" w:eastAsia="Times New Roman" w:hAnsi="Calibri" w:cs="Times New Roman"/>
                <w:color w:val="000000"/>
              </w:rPr>
              <w:t>31.12.13</w:t>
            </w:r>
            <w:proofErr w:type="gramEnd"/>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31.12.12</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31.12.11</w:t>
            </w:r>
          </w:p>
        </w:tc>
      </w:tr>
      <w:tr w:rsidR="00FE37B4" w:rsidRPr="004700E6" w:rsidTr="00FE37B4">
        <w:trPr>
          <w:trHeight w:val="267"/>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190"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center"/>
              <w:rPr>
                <w:rFonts w:ascii="Calibri" w:eastAsia="Times New Roman" w:hAnsi="Calibri" w:cs="Times New Roman"/>
                <w:i/>
                <w:iCs/>
                <w:color w:val="000000"/>
              </w:rPr>
            </w:pPr>
            <w:r w:rsidRPr="004700E6">
              <w:rPr>
                <w:rFonts w:ascii="Calibri" w:eastAsia="Times New Roman" w:hAnsi="Calibri" w:cs="Times New Roman"/>
                <w:i/>
                <w:iCs/>
                <w:color w:val="000000"/>
              </w:rPr>
              <w:t>IN05</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center"/>
              <w:rPr>
                <w:rFonts w:ascii="Calibri" w:eastAsia="Times New Roman" w:hAnsi="Calibri" w:cs="Times New Roman"/>
                <w:i/>
                <w:iCs/>
                <w:color w:val="000000"/>
              </w:rPr>
            </w:pPr>
            <w:r w:rsidRPr="004700E6">
              <w:rPr>
                <w:rFonts w:ascii="Calibri" w:eastAsia="Times New Roman" w:hAnsi="Calibri" w:cs="Times New Roman"/>
                <w:i/>
                <w:iCs/>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r>
      <w:tr w:rsidR="00FE37B4" w:rsidRPr="004700E6" w:rsidTr="00FE37B4">
        <w:trPr>
          <w:trHeight w:val="267"/>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Pr>
                <w:rFonts w:ascii="Calibri" w:eastAsia="Times New Roman" w:hAnsi="Calibri" w:cs="Times New Roman"/>
                <w:color w:val="000000"/>
              </w:rPr>
              <w:t>A/CK</w:t>
            </w:r>
          </w:p>
        </w:tc>
        <w:tc>
          <w:tcPr>
            <w:tcW w:w="190"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0,13</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1,23</w:t>
            </w:r>
          </w:p>
        </w:tc>
        <w:tc>
          <w:tcPr>
            <w:tcW w:w="1046"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1,47</w:t>
            </w:r>
          </w:p>
        </w:tc>
        <w:tc>
          <w:tcPr>
            <w:tcW w:w="973"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1,40</w:t>
            </w:r>
          </w:p>
        </w:tc>
        <w:tc>
          <w:tcPr>
            <w:tcW w:w="975"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1,45</w:t>
            </w:r>
          </w:p>
        </w:tc>
      </w:tr>
      <w:tr w:rsidR="00FE37B4" w:rsidRPr="004700E6" w:rsidTr="00FE37B4">
        <w:trPr>
          <w:trHeight w:val="267"/>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Pr>
                <w:rFonts w:ascii="Calibri" w:eastAsia="Times New Roman" w:hAnsi="Calibri" w:cs="Times New Roman"/>
                <w:color w:val="000000"/>
              </w:rPr>
              <w:t>EBIT/IC</w:t>
            </w:r>
          </w:p>
        </w:tc>
        <w:tc>
          <w:tcPr>
            <w:tcW w:w="190"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0,04</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4,09</w:t>
            </w:r>
          </w:p>
        </w:tc>
        <w:tc>
          <w:tcPr>
            <w:tcW w:w="1046"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3,85</w:t>
            </w:r>
          </w:p>
        </w:tc>
        <w:tc>
          <w:tcPr>
            <w:tcW w:w="973"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2,75</w:t>
            </w:r>
          </w:p>
        </w:tc>
        <w:tc>
          <w:tcPr>
            <w:tcW w:w="975"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3,43</w:t>
            </w:r>
          </w:p>
        </w:tc>
      </w:tr>
      <w:tr w:rsidR="00FE37B4" w:rsidRPr="004700E6" w:rsidTr="00FE37B4">
        <w:trPr>
          <w:trHeight w:val="267"/>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EBIT/</w:t>
            </w:r>
            <w:r>
              <w:rPr>
                <w:rFonts w:ascii="Calibri" w:eastAsia="Times New Roman" w:hAnsi="Calibri" w:cs="Times New Roman"/>
                <w:color w:val="000000"/>
              </w:rPr>
              <w:t>A</w:t>
            </w:r>
          </w:p>
        </w:tc>
        <w:tc>
          <w:tcPr>
            <w:tcW w:w="190"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3,97</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0,05</w:t>
            </w:r>
          </w:p>
        </w:tc>
        <w:tc>
          <w:tcPr>
            <w:tcW w:w="1046"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0,04</w:t>
            </w:r>
          </w:p>
        </w:tc>
        <w:tc>
          <w:tcPr>
            <w:tcW w:w="973"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0,06</w:t>
            </w:r>
          </w:p>
        </w:tc>
        <w:tc>
          <w:tcPr>
            <w:tcW w:w="975"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0,08</w:t>
            </w:r>
          </w:p>
        </w:tc>
      </w:tr>
      <w:tr w:rsidR="00FE37B4" w:rsidRPr="004700E6" w:rsidTr="00FE37B4">
        <w:trPr>
          <w:trHeight w:val="267"/>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Pr>
                <w:rFonts w:ascii="Calibri" w:eastAsia="Times New Roman" w:hAnsi="Calibri" w:cs="Times New Roman"/>
                <w:color w:val="000000"/>
              </w:rPr>
              <w:t>TR/A</w:t>
            </w:r>
          </w:p>
        </w:tc>
        <w:tc>
          <w:tcPr>
            <w:tcW w:w="190"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0,21</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1,1143</w:t>
            </w:r>
          </w:p>
        </w:tc>
        <w:tc>
          <w:tcPr>
            <w:tcW w:w="1046"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0,8715</w:t>
            </w:r>
          </w:p>
        </w:tc>
        <w:tc>
          <w:tcPr>
            <w:tcW w:w="973"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1,3948</w:t>
            </w:r>
          </w:p>
        </w:tc>
        <w:tc>
          <w:tcPr>
            <w:tcW w:w="975"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1,4804</w:t>
            </w:r>
          </w:p>
        </w:tc>
      </w:tr>
      <w:tr w:rsidR="00FE37B4" w:rsidRPr="004700E6" w:rsidTr="00FE37B4">
        <w:trPr>
          <w:trHeight w:val="267"/>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Pr>
                <w:rFonts w:ascii="Calibri" w:eastAsia="Times New Roman" w:hAnsi="Calibri" w:cs="Times New Roman"/>
                <w:color w:val="000000"/>
              </w:rPr>
              <w:t>CA/KRZ</w:t>
            </w:r>
          </w:p>
        </w:tc>
        <w:tc>
          <w:tcPr>
            <w:tcW w:w="190"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0,09</w:t>
            </w:r>
          </w:p>
        </w:tc>
        <w:tc>
          <w:tcPr>
            <w:tcW w:w="921"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1,65</w:t>
            </w:r>
          </w:p>
        </w:tc>
        <w:tc>
          <w:tcPr>
            <w:tcW w:w="1046"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1,84</w:t>
            </w:r>
          </w:p>
        </w:tc>
        <w:tc>
          <w:tcPr>
            <w:tcW w:w="973"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1,57</w:t>
            </w:r>
          </w:p>
        </w:tc>
        <w:tc>
          <w:tcPr>
            <w:tcW w:w="975" w:type="dxa"/>
            <w:tcBorders>
              <w:top w:val="nil"/>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1,68</w:t>
            </w:r>
          </w:p>
        </w:tc>
      </w:tr>
      <w:tr w:rsidR="00FE37B4" w:rsidRPr="004700E6" w:rsidTr="00FE37B4">
        <w:trPr>
          <w:trHeight w:val="267"/>
        </w:trPr>
        <w:tc>
          <w:tcPr>
            <w:tcW w:w="2882" w:type="dxa"/>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c>
          <w:tcPr>
            <w:tcW w:w="190" w:type="dxa"/>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c>
          <w:tcPr>
            <w:tcW w:w="991" w:type="dxa"/>
            <w:gridSpan w:val="2"/>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c>
          <w:tcPr>
            <w:tcW w:w="921" w:type="dxa"/>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c>
          <w:tcPr>
            <w:tcW w:w="1046" w:type="dxa"/>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c>
          <w:tcPr>
            <w:tcW w:w="973" w:type="dxa"/>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c>
          <w:tcPr>
            <w:tcW w:w="975" w:type="dxa"/>
            <w:tcBorders>
              <w:top w:val="nil"/>
              <w:left w:val="nil"/>
              <w:bottom w:val="nil"/>
              <w:right w:val="nil"/>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p>
        </w:tc>
      </w:tr>
      <w:tr w:rsidR="00FE37B4" w:rsidRPr="004700E6" w:rsidTr="00FE37B4">
        <w:trPr>
          <w:trHeight w:val="267"/>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Index IN05</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rPr>
                <w:rFonts w:ascii="Calibri" w:eastAsia="Times New Roman" w:hAnsi="Calibri" w:cs="Times New Roman"/>
                <w:color w:val="000000"/>
              </w:rPr>
            </w:pPr>
            <w:r w:rsidRPr="004700E6">
              <w:rPr>
                <w:rFonts w:ascii="Calibri" w:eastAsia="Times New Roman" w:hAnsi="Calibri" w:cs="Times New Roman"/>
                <w:color w:val="000000"/>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0,890</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0,871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0,970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FE37B4" w:rsidRPr="004700E6" w:rsidRDefault="00FE37B4" w:rsidP="004700E6">
            <w:pPr>
              <w:spacing w:after="0" w:line="240" w:lineRule="auto"/>
              <w:jc w:val="right"/>
              <w:rPr>
                <w:rFonts w:ascii="Calibri" w:eastAsia="Times New Roman" w:hAnsi="Calibri" w:cs="Times New Roman"/>
                <w:color w:val="000000"/>
              </w:rPr>
            </w:pPr>
            <w:r w:rsidRPr="004700E6">
              <w:rPr>
                <w:rFonts w:ascii="Calibri" w:eastAsia="Times New Roman" w:hAnsi="Calibri" w:cs="Times New Roman"/>
                <w:color w:val="000000"/>
              </w:rPr>
              <w:t>1,087</w:t>
            </w:r>
          </w:p>
        </w:tc>
      </w:tr>
      <w:tr w:rsidR="00FE37B4" w:rsidRPr="009F41D1" w:rsidTr="00FE37B4">
        <w:trPr>
          <w:gridAfter w:val="5"/>
          <w:wAfter w:w="4838" w:type="dxa"/>
          <w:trHeight w:val="300"/>
        </w:trPr>
        <w:tc>
          <w:tcPr>
            <w:tcW w:w="3140" w:type="dxa"/>
            <w:gridSpan w:val="3"/>
            <w:tcBorders>
              <w:top w:val="nil"/>
              <w:left w:val="nil"/>
              <w:bottom w:val="nil"/>
              <w:right w:val="nil"/>
            </w:tcBorders>
            <w:shd w:val="clear" w:color="auto" w:fill="auto"/>
            <w:noWrap/>
            <w:vAlign w:val="bottom"/>
            <w:hideMark/>
          </w:tcPr>
          <w:p w:rsidR="00FE37B4" w:rsidRPr="009F41D1" w:rsidRDefault="00FE37B4" w:rsidP="0074626B">
            <w:pPr>
              <w:spacing w:after="0" w:line="240" w:lineRule="auto"/>
              <w:rPr>
                <w:rFonts w:ascii="Calibri" w:eastAsia="Times New Roman" w:hAnsi="Calibri" w:cs="Times New Roman"/>
                <w:bCs/>
                <w:lang w:val="en-GB"/>
              </w:rPr>
            </w:pPr>
            <w:r w:rsidRPr="009F41D1">
              <w:rPr>
                <w:rFonts w:ascii="Calibri" w:eastAsia="Times New Roman" w:hAnsi="Calibri" w:cs="Times New Roman"/>
                <w:bCs/>
                <w:lang w:val="en-GB"/>
              </w:rPr>
              <w:t>IN05  &gt; 1,6</w:t>
            </w:r>
          </w:p>
        </w:tc>
      </w:tr>
      <w:tr w:rsidR="00FE37B4" w:rsidRPr="009F41D1" w:rsidTr="00FE37B4">
        <w:trPr>
          <w:gridAfter w:val="5"/>
          <w:wAfter w:w="4838" w:type="dxa"/>
          <w:trHeight w:val="300"/>
        </w:trPr>
        <w:tc>
          <w:tcPr>
            <w:tcW w:w="3140" w:type="dxa"/>
            <w:gridSpan w:val="3"/>
            <w:tcBorders>
              <w:top w:val="nil"/>
              <w:left w:val="nil"/>
              <w:bottom w:val="nil"/>
              <w:right w:val="nil"/>
            </w:tcBorders>
            <w:shd w:val="clear" w:color="auto" w:fill="auto"/>
            <w:noWrap/>
            <w:vAlign w:val="bottom"/>
            <w:hideMark/>
          </w:tcPr>
          <w:p w:rsidR="00FE37B4" w:rsidRPr="009F41D1" w:rsidRDefault="00FE37B4" w:rsidP="0074626B">
            <w:pPr>
              <w:spacing w:after="0" w:line="240" w:lineRule="auto"/>
              <w:rPr>
                <w:rFonts w:ascii="Calibri" w:eastAsia="Times New Roman" w:hAnsi="Calibri" w:cs="Times New Roman"/>
                <w:bCs/>
                <w:lang w:val="en-GB"/>
              </w:rPr>
            </w:pPr>
            <w:r w:rsidRPr="009F41D1">
              <w:rPr>
                <w:rFonts w:ascii="Calibri" w:eastAsia="Times New Roman" w:hAnsi="Calibri" w:cs="Times New Roman"/>
                <w:bCs/>
                <w:lang w:val="en-GB"/>
              </w:rPr>
              <w:t>0,9 &lt; IN05 &lt; 1,6</w:t>
            </w:r>
          </w:p>
        </w:tc>
      </w:tr>
      <w:tr w:rsidR="00FE37B4" w:rsidRPr="009F41D1" w:rsidTr="00FE37B4">
        <w:trPr>
          <w:gridAfter w:val="5"/>
          <w:wAfter w:w="4838" w:type="dxa"/>
          <w:trHeight w:val="300"/>
        </w:trPr>
        <w:tc>
          <w:tcPr>
            <w:tcW w:w="3140" w:type="dxa"/>
            <w:gridSpan w:val="3"/>
            <w:tcBorders>
              <w:top w:val="nil"/>
              <w:left w:val="nil"/>
              <w:bottom w:val="nil"/>
              <w:right w:val="nil"/>
            </w:tcBorders>
            <w:shd w:val="clear" w:color="auto" w:fill="auto"/>
            <w:noWrap/>
            <w:vAlign w:val="bottom"/>
            <w:hideMark/>
          </w:tcPr>
          <w:p w:rsidR="00FE37B4" w:rsidRPr="009F41D1" w:rsidRDefault="00FE37B4" w:rsidP="0074626B">
            <w:pPr>
              <w:spacing w:after="0" w:line="240" w:lineRule="auto"/>
              <w:rPr>
                <w:rFonts w:ascii="Calibri" w:eastAsia="Times New Roman" w:hAnsi="Calibri" w:cs="Times New Roman"/>
                <w:bCs/>
                <w:lang w:val="en-GB"/>
              </w:rPr>
            </w:pPr>
            <w:r w:rsidRPr="009F41D1">
              <w:rPr>
                <w:rFonts w:ascii="Calibri" w:eastAsia="Times New Roman" w:hAnsi="Calibri" w:cs="Times New Roman"/>
                <w:bCs/>
                <w:lang w:val="en-GB"/>
              </w:rPr>
              <w:t>IN05  &lt;  0,9</w:t>
            </w:r>
          </w:p>
        </w:tc>
      </w:tr>
    </w:tbl>
    <w:p w:rsidR="004700E6" w:rsidRDefault="004700E6" w:rsidP="003B3F43">
      <w:pPr>
        <w:rPr>
          <w:rFonts w:ascii="Arial" w:hAnsi="Arial" w:cs="Arial"/>
          <w:b/>
        </w:rPr>
      </w:pPr>
    </w:p>
    <w:p w:rsidR="003B3F43" w:rsidRDefault="0039626E" w:rsidP="008B55C9">
      <w:pPr>
        <w:pStyle w:val="CM-body"/>
        <w:jc w:val="center"/>
      </w:pPr>
      <w:r w:rsidRPr="0039626E">
        <w:rPr>
          <w:noProof/>
          <w:lang w:val="cs-CZ" w:eastAsia="cs-CZ"/>
        </w:rPr>
        <w:drawing>
          <wp:inline distT="0" distB="0" distL="0" distR="0">
            <wp:extent cx="4572000" cy="272415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55C9" w:rsidRPr="00C6494E" w:rsidRDefault="00C6494E" w:rsidP="00C6494E">
      <w:pPr>
        <w:jc w:val="center"/>
        <w:rPr>
          <w:rFonts w:cs="Arial"/>
          <w:b/>
          <w:sz w:val="20"/>
          <w:szCs w:val="20"/>
          <w:lang w:val="en-GB"/>
        </w:rPr>
      </w:pPr>
      <w:r w:rsidRPr="00C6494E">
        <w:rPr>
          <w:rFonts w:cs="Arial"/>
          <w:b/>
          <w:sz w:val="20"/>
          <w:szCs w:val="20"/>
          <w:lang w:val="en-GB"/>
        </w:rPr>
        <w:t xml:space="preserve">Figure 1 – summary indexes </w:t>
      </w:r>
      <w:r w:rsidR="008B55C9" w:rsidRPr="00C6494E">
        <w:rPr>
          <w:rFonts w:cs="Arial"/>
          <w:b/>
          <w:sz w:val="20"/>
          <w:szCs w:val="20"/>
          <w:lang w:val="en-GB"/>
        </w:rPr>
        <w:t>Z-score, IN05</w:t>
      </w:r>
      <w:r w:rsidRPr="00C6494E">
        <w:rPr>
          <w:rFonts w:cs="Arial"/>
          <w:b/>
          <w:sz w:val="20"/>
          <w:szCs w:val="20"/>
          <w:lang w:val="en-GB"/>
        </w:rPr>
        <w:t xml:space="preserve"> (source: author)</w:t>
      </w:r>
    </w:p>
    <w:p w:rsidR="002B6D28" w:rsidRDefault="002B6D28" w:rsidP="002B6D28">
      <w:pPr>
        <w:pStyle w:val="CM-heading2"/>
      </w:pPr>
      <w:r>
        <w:lastRenderedPageBreak/>
        <w:t xml:space="preserve">Conclusion </w:t>
      </w:r>
    </w:p>
    <w:p w:rsidR="002B6D28" w:rsidRPr="00812EF5" w:rsidRDefault="00A46421" w:rsidP="002B6D28">
      <w:pPr>
        <w:pStyle w:val="CM-body"/>
      </w:pPr>
      <w:r w:rsidRPr="00812EF5">
        <w:t xml:space="preserve">The project of splitting was chosen as optimal solution for risk elimination and organizational </w:t>
      </w:r>
      <w:r w:rsidR="00812EF5" w:rsidRPr="00812EF5">
        <w:t>improvement</w:t>
      </w:r>
      <w:r w:rsidRPr="00812EF5">
        <w:t xml:space="preserve">. </w:t>
      </w:r>
      <w:r w:rsidR="00812EF5" w:rsidRPr="00812EF5">
        <w:t>One of the key demands of shareholders to project of splitting was t</w:t>
      </w:r>
      <w:r w:rsidRPr="00812EF5">
        <w:t>o avoid negative influence on financia</w:t>
      </w:r>
      <w:r w:rsidR="00812EF5" w:rsidRPr="00812EF5">
        <w:t>l health of original company</w:t>
      </w:r>
      <w:r w:rsidRPr="00812EF5">
        <w:t xml:space="preserve">. </w:t>
      </w:r>
      <w:r w:rsidR="00812EF5" w:rsidRPr="00812EF5">
        <w:t>It was</w:t>
      </w:r>
      <w:r w:rsidRPr="00812EF5">
        <w:t xml:space="preserve"> verified </w:t>
      </w:r>
      <w:r w:rsidR="00812EF5" w:rsidRPr="00812EF5">
        <w:t>based on financial results 1 year after the splitting that the</w:t>
      </w:r>
      <w:r w:rsidRPr="00812EF5">
        <w:t xml:space="preserve"> project has not negative influence</w:t>
      </w:r>
      <w:r w:rsidR="00812EF5" w:rsidRPr="00812EF5">
        <w:t>. The</w:t>
      </w:r>
      <w:r w:rsidRPr="00812EF5">
        <w:t xml:space="preserve"> original </w:t>
      </w:r>
      <w:r w:rsidR="00812EF5" w:rsidRPr="00812EF5">
        <w:t>company generates slightly higher profit and slightly improves</w:t>
      </w:r>
      <w:r w:rsidRPr="00812EF5">
        <w:t xml:space="preserve"> summary indexes. One of the main </w:t>
      </w:r>
      <w:r w:rsidR="00812EF5" w:rsidRPr="00812EF5">
        <w:t>reasons</w:t>
      </w:r>
      <w:r w:rsidRPr="00812EF5">
        <w:t xml:space="preserve"> is that transferred property was not used for core business.</w:t>
      </w:r>
      <w:r w:rsidR="00812EF5" w:rsidRPr="00812EF5">
        <w:t xml:space="preserve"> </w:t>
      </w:r>
    </w:p>
    <w:p w:rsidR="00812EF5" w:rsidRDefault="00812EF5" w:rsidP="002B6D28">
      <w:pPr>
        <w:pStyle w:val="CM-body"/>
      </w:pPr>
    </w:p>
    <w:p w:rsidR="00B13510" w:rsidRPr="00B13510" w:rsidRDefault="00B13510" w:rsidP="00B13510">
      <w:pPr>
        <w:pStyle w:val="CM-referencesheading"/>
      </w:pPr>
      <w:r>
        <w:t>References</w:t>
      </w:r>
    </w:p>
    <w:p w:rsidR="008B55C9" w:rsidRPr="00E47D2A" w:rsidRDefault="008B55C9" w:rsidP="008B55C9">
      <w:pPr>
        <w:pStyle w:val="CM-references"/>
        <w:numPr>
          <w:ilvl w:val="0"/>
          <w:numId w:val="24"/>
        </w:numPr>
      </w:pPr>
      <w:r w:rsidRPr="00E47D2A">
        <w:t xml:space="preserve">SCHOLLEOVÁ, H., </w:t>
      </w:r>
      <w:r w:rsidRPr="008B55C9">
        <w:rPr>
          <w:i/>
        </w:rPr>
        <w:t>Ekonomické a finanční řízení pro neekonomy</w:t>
      </w:r>
      <w:r w:rsidRPr="00E47D2A">
        <w:t>, Praha, Grada, 2012, ISBN: 978-80-247-4004-1</w:t>
      </w:r>
    </w:p>
    <w:p w:rsidR="008B55C9" w:rsidRPr="00E47D2A" w:rsidRDefault="008B55C9" w:rsidP="008B55C9">
      <w:pPr>
        <w:pStyle w:val="CM-references"/>
        <w:ind w:left="720" w:hanging="360"/>
      </w:pPr>
      <w:r w:rsidRPr="00E47D2A">
        <w:t xml:space="preserve">SYNEK, M., </w:t>
      </w:r>
      <w:r w:rsidRPr="00E47D2A">
        <w:rPr>
          <w:i/>
        </w:rPr>
        <w:t>Manažerská ekonomika</w:t>
      </w:r>
      <w:r w:rsidRPr="00E47D2A">
        <w:t>, Praha, Grada, 2007, ISBN: 978-80-247-1992-4</w:t>
      </w:r>
    </w:p>
    <w:p w:rsidR="008B55C9" w:rsidRPr="00E47D2A" w:rsidRDefault="008B55C9" w:rsidP="008B55C9">
      <w:pPr>
        <w:pStyle w:val="CM-references"/>
        <w:ind w:left="720" w:hanging="360"/>
      </w:pPr>
      <w:r w:rsidRPr="00E47D2A">
        <w:t>PUCHÝŘ, B Krizový management, Brno, Litera, 2013, ISBN: 80-903586-8-3</w:t>
      </w:r>
    </w:p>
    <w:p w:rsidR="008B55C9" w:rsidRPr="00E47D2A" w:rsidRDefault="008B55C9" w:rsidP="008B55C9">
      <w:pPr>
        <w:pStyle w:val="CM-references"/>
        <w:ind w:left="720" w:hanging="360"/>
      </w:pPr>
      <w:r w:rsidRPr="00E47D2A">
        <w:t xml:space="preserve">BERGEVIN, P. , </w:t>
      </w:r>
      <w:r w:rsidRPr="00E47D2A">
        <w:rPr>
          <w:i/>
        </w:rPr>
        <w:t>Financial Statement Analysis</w:t>
      </w:r>
      <w:r w:rsidRPr="00E47D2A">
        <w:t>, New Jersey, Prentice Hall, 2002, ISBN: 0-13-032534-1</w:t>
      </w:r>
    </w:p>
    <w:p w:rsidR="008B55C9" w:rsidRPr="00E47D2A" w:rsidRDefault="008B55C9" w:rsidP="008B55C9">
      <w:pPr>
        <w:pStyle w:val="CM-references"/>
        <w:ind w:left="720" w:hanging="360"/>
      </w:pPr>
      <w:r w:rsidRPr="00E47D2A">
        <w:t xml:space="preserve">NEUMAIER, I. – NEUMAIEROVÁ, I. (2002): </w:t>
      </w:r>
      <w:r w:rsidRPr="00E47D2A">
        <w:rPr>
          <w:i/>
        </w:rPr>
        <w:t>Výkonnost a tržní hodnota firmy</w:t>
      </w:r>
      <w:r>
        <w:rPr>
          <w:i/>
          <w:iCs/>
        </w:rPr>
        <w:t xml:space="preserve">, </w:t>
      </w:r>
      <w:r w:rsidRPr="00E47D2A">
        <w:rPr>
          <w:i/>
          <w:iCs/>
        </w:rPr>
        <w:t xml:space="preserve"> </w:t>
      </w:r>
      <w:r w:rsidRPr="00E47D2A">
        <w:t>Praha, Grada,</w:t>
      </w:r>
    </w:p>
    <w:p w:rsidR="008B55C9" w:rsidRPr="00E47D2A" w:rsidRDefault="008B55C9" w:rsidP="008B55C9">
      <w:pPr>
        <w:pStyle w:val="CM-references"/>
        <w:numPr>
          <w:ilvl w:val="0"/>
          <w:numId w:val="0"/>
        </w:numPr>
        <w:ind w:left="567"/>
      </w:pPr>
      <w:r w:rsidRPr="00E47D2A">
        <w:t>2002, ISBN 80-247-0125-1</w:t>
      </w:r>
    </w:p>
    <w:p w:rsidR="008B55C9" w:rsidRDefault="008B55C9" w:rsidP="008B55C9">
      <w:pPr>
        <w:pStyle w:val="CM-references"/>
        <w:numPr>
          <w:ilvl w:val="0"/>
          <w:numId w:val="0"/>
        </w:numPr>
        <w:ind w:left="567"/>
      </w:pPr>
    </w:p>
    <w:sectPr w:rsidR="008B55C9" w:rsidSect="003A6E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4D" w:rsidRDefault="00815D4D" w:rsidP="00C90DDD">
      <w:pPr>
        <w:spacing w:after="0" w:line="240" w:lineRule="auto"/>
      </w:pPr>
      <w:r>
        <w:separator/>
      </w:r>
    </w:p>
  </w:endnote>
  <w:endnote w:type="continuationSeparator" w:id="0">
    <w:p w:rsidR="00815D4D" w:rsidRDefault="00815D4D"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4D" w:rsidRDefault="00815D4D" w:rsidP="00C90DDD">
      <w:pPr>
        <w:spacing w:after="0" w:line="240" w:lineRule="auto"/>
      </w:pPr>
      <w:r>
        <w:separator/>
      </w:r>
    </w:p>
  </w:footnote>
  <w:footnote w:type="continuationSeparator" w:id="0">
    <w:p w:rsidR="00815D4D" w:rsidRDefault="00815D4D"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nsid w:val="6D551437"/>
    <w:multiLevelType w:val="multilevel"/>
    <w:tmpl w:val="C2CE0E8C"/>
    <w:numStyleLink w:val="MES-bulletliststyle"/>
  </w:abstractNum>
  <w:abstractNum w:abstractNumId="21">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681144"/>
    <w:multiLevelType w:val="hybridMultilevel"/>
    <w:tmpl w:val="35EAA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22"/>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E"/>
    <w:rsid w:val="00007A69"/>
    <w:rsid w:val="000439E9"/>
    <w:rsid w:val="000445A4"/>
    <w:rsid w:val="00067728"/>
    <w:rsid w:val="000747FF"/>
    <w:rsid w:val="000A349B"/>
    <w:rsid w:val="000B57A5"/>
    <w:rsid w:val="000D4DC1"/>
    <w:rsid w:val="000F6904"/>
    <w:rsid w:val="00106465"/>
    <w:rsid w:val="00157F16"/>
    <w:rsid w:val="00160FDD"/>
    <w:rsid w:val="001B122C"/>
    <w:rsid w:val="001B55F1"/>
    <w:rsid w:val="00201560"/>
    <w:rsid w:val="00216E06"/>
    <w:rsid w:val="00224CC0"/>
    <w:rsid w:val="00232D6A"/>
    <w:rsid w:val="00260826"/>
    <w:rsid w:val="00273816"/>
    <w:rsid w:val="002B6D28"/>
    <w:rsid w:val="002C320F"/>
    <w:rsid w:val="002E59FC"/>
    <w:rsid w:val="0032113C"/>
    <w:rsid w:val="00383F78"/>
    <w:rsid w:val="00394190"/>
    <w:rsid w:val="0039626E"/>
    <w:rsid w:val="003A6E59"/>
    <w:rsid w:val="003B3F43"/>
    <w:rsid w:val="00400E79"/>
    <w:rsid w:val="00410622"/>
    <w:rsid w:val="004107F3"/>
    <w:rsid w:val="00433AEF"/>
    <w:rsid w:val="00452404"/>
    <w:rsid w:val="00452C46"/>
    <w:rsid w:val="0046473D"/>
    <w:rsid w:val="004700E6"/>
    <w:rsid w:val="00477E59"/>
    <w:rsid w:val="00484470"/>
    <w:rsid w:val="00497DB7"/>
    <w:rsid w:val="004A69CB"/>
    <w:rsid w:val="004B0D46"/>
    <w:rsid w:val="004F742B"/>
    <w:rsid w:val="005066DC"/>
    <w:rsid w:val="00532D79"/>
    <w:rsid w:val="00550701"/>
    <w:rsid w:val="005531C2"/>
    <w:rsid w:val="005D6392"/>
    <w:rsid w:val="00606854"/>
    <w:rsid w:val="00621403"/>
    <w:rsid w:val="00623613"/>
    <w:rsid w:val="00674ABB"/>
    <w:rsid w:val="00674E5C"/>
    <w:rsid w:val="006846BD"/>
    <w:rsid w:val="006B6577"/>
    <w:rsid w:val="006E6AF2"/>
    <w:rsid w:val="006F5B07"/>
    <w:rsid w:val="00722CAD"/>
    <w:rsid w:val="00737725"/>
    <w:rsid w:val="007538CF"/>
    <w:rsid w:val="00753D2C"/>
    <w:rsid w:val="00812EF5"/>
    <w:rsid w:val="00815D4D"/>
    <w:rsid w:val="00820804"/>
    <w:rsid w:val="00822A71"/>
    <w:rsid w:val="008355D9"/>
    <w:rsid w:val="008438EB"/>
    <w:rsid w:val="008641E8"/>
    <w:rsid w:val="00896B61"/>
    <w:rsid w:val="008A0FCA"/>
    <w:rsid w:val="008B55C9"/>
    <w:rsid w:val="008C4DC0"/>
    <w:rsid w:val="008D021C"/>
    <w:rsid w:val="0093233E"/>
    <w:rsid w:val="00961B88"/>
    <w:rsid w:val="009F1726"/>
    <w:rsid w:val="009F62A4"/>
    <w:rsid w:val="00A04167"/>
    <w:rsid w:val="00A12C36"/>
    <w:rsid w:val="00A46421"/>
    <w:rsid w:val="00A72BDF"/>
    <w:rsid w:val="00AB31C8"/>
    <w:rsid w:val="00AC2C91"/>
    <w:rsid w:val="00AC5512"/>
    <w:rsid w:val="00AF1D81"/>
    <w:rsid w:val="00B13510"/>
    <w:rsid w:val="00B15866"/>
    <w:rsid w:val="00B92437"/>
    <w:rsid w:val="00B96127"/>
    <w:rsid w:val="00C60FBE"/>
    <w:rsid w:val="00C6494E"/>
    <w:rsid w:val="00C90DDD"/>
    <w:rsid w:val="00CD12E1"/>
    <w:rsid w:val="00CE0E6F"/>
    <w:rsid w:val="00CE4B7E"/>
    <w:rsid w:val="00D27269"/>
    <w:rsid w:val="00D302F4"/>
    <w:rsid w:val="00D4314D"/>
    <w:rsid w:val="00DB72BA"/>
    <w:rsid w:val="00DD7471"/>
    <w:rsid w:val="00E049F1"/>
    <w:rsid w:val="00E72793"/>
    <w:rsid w:val="00EB6E8A"/>
    <w:rsid w:val="00EF5CA3"/>
    <w:rsid w:val="00F30C5E"/>
    <w:rsid w:val="00F41FD2"/>
    <w:rsid w:val="00F468AF"/>
    <w:rsid w:val="00F7401D"/>
    <w:rsid w:val="00FD26BF"/>
    <w:rsid w:val="00FE3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7538CF"/>
    <w:pPr>
      <w:spacing w:after="200" w:line="276" w:lineRule="auto"/>
    </w:pPr>
    <w:rPr>
      <w:rFonts w:eastAsiaTheme="minorEastAsia"/>
      <w:lang w:eastAsia="cs-CZ"/>
    </w:rPr>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7538CF"/>
    <w:pPr>
      <w:spacing w:after="200" w:line="276" w:lineRule="auto"/>
    </w:pPr>
    <w:rPr>
      <w:rFonts w:eastAsiaTheme="minorEastAsia"/>
      <w:lang w:eastAsia="cs-CZ"/>
    </w:rPr>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2720">
      <w:bodyDiv w:val="1"/>
      <w:marLeft w:val="0"/>
      <w:marRight w:val="0"/>
      <w:marTop w:val="0"/>
      <w:marBottom w:val="0"/>
      <w:divBdr>
        <w:top w:val="none" w:sz="0" w:space="0" w:color="auto"/>
        <w:left w:val="none" w:sz="0" w:space="0" w:color="auto"/>
        <w:bottom w:val="none" w:sz="0" w:space="0" w:color="auto"/>
        <w:right w:val="none" w:sz="0" w:space="0" w:color="auto"/>
      </w:divBdr>
    </w:div>
    <w:div w:id="14625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19155\Desktop\oli\&#268;VUT%20&#269;l&#225;nek%202015\CM.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ga\Desktop\doktor&#225;t\konference%20CVUT%2021-10-15\Altman%20-%20ESB%20(3-11-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'11-2015 (2)'!$D$34</c:f>
              <c:strCache>
                <c:ptCount val="1"/>
                <c:pt idx="0">
                  <c:v>Z-skóre</c:v>
                </c:pt>
              </c:strCache>
            </c:strRef>
          </c:tx>
          <c:cat>
            <c:numRef>
              <c:f>'11-2015 (2)'!$E$33:$H$33</c:f>
              <c:numCache>
                <c:formatCode>[$-405]d/mmm/yy;@</c:formatCode>
                <c:ptCount val="4"/>
                <c:pt idx="0">
                  <c:v>42004</c:v>
                </c:pt>
                <c:pt idx="1">
                  <c:v>41639</c:v>
                </c:pt>
                <c:pt idx="2">
                  <c:v>41274</c:v>
                </c:pt>
                <c:pt idx="3">
                  <c:v>40908</c:v>
                </c:pt>
              </c:numCache>
            </c:numRef>
          </c:cat>
          <c:val>
            <c:numRef>
              <c:f>'11-2015 (2)'!$E$34:$H$34</c:f>
              <c:numCache>
                <c:formatCode>#,##0.00</c:formatCode>
                <c:ptCount val="4"/>
                <c:pt idx="0">
                  <c:v>1.6185805825538315</c:v>
                </c:pt>
                <c:pt idx="1">
                  <c:v>1.4172542932448677</c:v>
                </c:pt>
                <c:pt idx="2">
                  <c:v>1.7826995101352088</c:v>
                </c:pt>
                <c:pt idx="3">
                  <c:v>1.9723587439988037</c:v>
                </c:pt>
              </c:numCache>
            </c:numRef>
          </c:val>
          <c:smooth val="0"/>
        </c:ser>
        <c:ser>
          <c:idx val="1"/>
          <c:order val="1"/>
          <c:tx>
            <c:strRef>
              <c:f>'11-2015 (2)'!$D$35</c:f>
              <c:strCache>
                <c:ptCount val="1"/>
                <c:pt idx="0">
                  <c:v>Index IN05</c:v>
                </c:pt>
              </c:strCache>
            </c:strRef>
          </c:tx>
          <c:cat>
            <c:numRef>
              <c:f>'11-2015 (2)'!$E$33:$H$33</c:f>
              <c:numCache>
                <c:formatCode>[$-405]d/mmm/yy;@</c:formatCode>
                <c:ptCount val="4"/>
                <c:pt idx="0">
                  <c:v>42004</c:v>
                </c:pt>
                <c:pt idx="1">
                  <c:v>41639</c:v>
                </c:pt>
                <c:pt idx="2">
                  <c:v>41274</c:v>
                </c:pt>
                <c:pt idx="3">
                  <c:v>40908</c:v>
                </c:pt>
              </c:numCache>
            </c:numRef>
          </c:cat>
          <c:val>
            <c:numRef>
              <c:f>'11-2015 (2)'!$E$35:$H$35</c:f>
              <c:numCache>
                <c:formatCode>0.000</c:formatCode>
                <c:ptCount val="4"/>
                <c:pt idx="0">
                  <c:v>0.8899476947891678</c:v>
                </c:pt>
                <c:pt idx="1">
                  <c:v>0.87117092866937262</c:v>
                </c:pt>
                <c:pt idx="2">
                  <c:v>0.96954972386848814</c:v>
                </c:pt>
                <c:pt idx="3">
                  <c:v>1.0866197843639545</c:v>
                </c:pt>
              </c:numCache>
            </c:numRef>
          </c:val>
          <c:smooth val="0"/>
        </c:ser>
        <c:dLbls>
          <c:showLegendKey val="0"/>
          <c:showVal val="0"/>
          <c:showCatName val="0"/>
          <c:showSerName val="0"/>
          <c:showPercent val="0"/>
          <c:showBubbleSize val="0"/>
        </c:dLbls>
        <c:marker val="1"/>
        <c:smooth val="0"/>
        <c:axId val="65448576"/>
        <c:axId val="65458560"/>
      </c:lineChart>
      <c:catAx>
        <c:axId val="65448576"/>
        <c:scaling>
          <c:orientation val="minMax"/>
        </c:scaling>
        <c:delete val="0"/>
        <c:axPos val="b"/>
        <c:numFmt formatCode="[$-405]d/mmm/yy;@" sourceLinked="1"/>
        <c:majorTickMark val="out"/>
        <c:minorTickMark val="none"/>
        <c:tickLblPos val="nextTo"/>
        <c:crossAx val="65458560"/>
        <c:crosses val="autoZero"/>
        <c:auto val="0"/>
        <c:lblAlgn val="ctr"/>
        <c:lblOffset val="100"/>
        <c:noMultiLvlLbl val="0"/>
      </c:catAx>
      <c:valAx>
        <c:axId val="65458560"/>
        <c:scaling>
          <c:orientation val="minMax"/>
        </c:scaling>
        <c:delete val="0"/>
        <c:axPos val="l"/>
        <c:majorGridlines/>
        <c:numFmt formatCode="#,##0.00" sourceLinked="1"/>
        <c:majorTickMark val="out"/>
        <c:minorTickMark val="none"/>
        <c:tickLblPos val="nextTo"/>
        <c:crossAx val="65448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5620EE1B-9E0E-476E-A62F-CED492D0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1</TotalTime>
  <Pages>6</Pages>
  <Words>1348</Words>
  <Characters>7960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Herálová Olga,Ing.</dc:creator>
  <cp:lastModifiedBy>Herálová Olga,Ing.</cp:lastModifiedBy>
  <cp:revision>2</cp:revision>
  <cp:lastPrinted>2015-11-03T15:06:00Z</cp:lastPrinted>
  <dcterms:created xsi:type="dcterms:W3CDTF">2015-11-05T07:19:00Z</dcterms:created>
  <dcterms:modified xsi:type="dcterms:W3CDTF">2015-11-05T07:19:00Z</dcterms:modified>
</cp:coreProperties>
</file>