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1C3EC" w14:textId="76407B4E" w:rsidR="00E336CB" w:rsidRDefault="00E336CB" w:rsidP="00E336CB">
      <w:pPr>
        <w:pStyle w:val="CM-conference"/>
      </w:pPr>
      <w:r>
        <w:t xml:space="preserve">Construction </w:t>
      </w:r>
      <w:proofErr w:type="spellStart"/>
      <w:r>
        <w:t>Maeconomics</w:t>
      </w:r>
      <w:proofErr w:type="spellEnd"/>
      <w:r>
        <w:t xml:space="preserve"> Conference 20</w:t>
      </w:r>
      <w:r w:rsidR="000F015F">
        <w:t>20</w:t>
      </w:r>
    </w:p>
    <w:p w14:paraId="7C95F29F" w14:textId="6F0858C2" w:rsidR="00E336CB" w:rsidRDefault="00DB083C" w:rsidP="00E336CB">
      <w:pPr>
        <w:pStyle w:val="CM-author"/>
      </w:pPr>
      <w:r w:rsidRPr="00DB083C">
        <w:rPr>
          <w:b/>
          <w:smallCaps/>
          <w:sz w:val="44"/>
        </w:rPr>
        <w:t>FINANCIAL ANALYSIS FOR DECISION MAKING IN MID-SIZE CONSTRUCTION FIRM</w:t>
      </w:r>
      <w:r w:rsidR="00E336CB">
        <w:rPr>
          <w:b/>
          <w:smallCaps/>
          <w:sz w:val="44"/>
        </w:rPr>
        <w:br/>
      </w:r>
      <w:sdt>
        <w:sdtPr>
          <w:alias w:val="Author"/>
          <w:tag w:val="Author"/>
          <w:id w:val="437415530"/>
          <w:placeholder>
            <w:docPart w:val="117245972CC5482B9B24F68F1C775474"/>
          </w:placeholder>
        </w:sdtPr>
        <w:sdtEndPr>
          <w:rPr>
            <w:vertAlign w:val="superscript"/>
          </w:rPr>
        </w:sdtEndPr>
        <w:sdtContent>
          <w:r w:rsidR="00E336CB">
            <w:t>Ing. Bohdan Povýšil</w:t>
          </w:r>
        </w:sdtContent>
      </w:sdt>
    </w:p>
    <w:p w14:paraId="1F89BF51" w14:textId="77777777" w:rsidR="00E336CB" w:rsidRDefault="00E336CB" w:rsidP="00E336CB">
      <w:pPr>
        <w:pStyle w:val="CM-referencesheading"/>
      </w:pPr>
      <w:r>
        <w:t>Abstract</w:t>
      </w:r>
    </w:p>
    <w:sdt>
      <w:sdtPr>
        <w:alias w:val="Abstract"/>
        <w:tag w:val="Abstract"/>
        <w:id w:val="572170275"/>
        <w:placeholder>
          <w:docPart w:val="117245972CC5482B9B24F68F1C775474"/>
        </w:placeholder>
      </w:sdtPr>
      <w:sdtEndPr/>
      <w:sdtContent>
        <w:sdt>
          <w:sdtPr>
            <w:alias w:val="Abstract"/>
            <w:tag w:val="Abstract"/>
            <w:id w:val="-654995857"/>
            <w:placeholder>
              <w:docPart w:val="4D02A7FA82CB47D4991CD901490B8B7F"/>
            </w:placeholder>
          </w:sdtPr>
          <w:sdtEndPr/>
          <w:sdtContent>
            <w:sdt>
              <w:sdtPr>
                <w:alias w:val="Abstract"/>
                <w:tag w:val="Abstract"/>
                <w:id w:val="391239759"/>
                <w:placeholder>
                  <w:docPart w:val="7921C2FC5C9948C18EFC908399DF06D6"/>
                </w:placeholder>
              </w:sdtPr>
              <w:sdtContent>
                <w:p w14:paraId="027D3C27" w14:textId="2B0CB8C1" w:rsidR="00E336CB" w:rsidRDefault="00DB083C" w:rsidP="00DB083C">
                  <w:pPr>
                    <w:pStyle w:val="CM-abstractbody"/>
                  </w:pPr>
                  <w:r>
                    <w:tab/>
                    <w:t>Paper shows financial analysis of one mid-sized construction firm based in Prague, Czech Republic. Based on widely accepted ratings within the financial analysis author describes those results and compares them with the risks that are actual in construction business during 2020 and ongoing Covid-19 pandemic. This financial analysis might be one of the sources for decision making for this construction company, but also will be used as a basis for further studies.</w:t>
                  </w:r>
                </w:p>
              </w:sdtContent>
            </w:sdt>
          </w:sdtContent>
        </w:sdt>
      </w:sdtContent>
    </w:sdt>
    <w:p w14:paraId="197960B6" w14:textId="77777777" w:rsidR="00E336CB" w:rsidRDefault="00E336CB" w:rsidP="00E336CB">
      <w:pPr>
        <w:pStyle w:val="CM-keywordsheading"/>
      </w:pPr>
      <w:r>
        <w:t>Keywords</w:t>
      </w:r>
    </w:p>
    <w:sdt>
      <w:sdtPr>
        <w:alias w:val="Keywords"/>
        <w:tag w:val="Keywords"/>
        <w:id w:val="-773168606"/>
        <w:placeholder>
          <w:docPart w:val="117245972CC5482B9B24F68F1C775474"/>
        </w:placeholder>
      </w:sdtPr>
      <w:sdtEndPr/>
      <w:sdtContent>
        <w:p w14:paraId="607FF6F7" w14:textId="7085E3A8" w:rsidR="00E336CB" w:rsidRPr="00971752" w:rsidRDefault="00DB083C" w:rsidP="00E336CB">
          <w:pPr>
            <w:pStyle w:val="CM-keywords"/>
          </w:pPr>
          <w:r w:rsidRPr="00DB083C">
            <w:t>Construction firm, financial analysis, decision making, risks.</w:t>
          </w:r>
        </w:p>
      </w:sdtContent>
    </w:sdt>
    <w:p w14:paraId="28325233" w14:textId="77777777" w:rsidR="00201560" w:rsidRDefault="00E336CB" w:rsidP="00E336CB">
      <w:pPr>
        <w:pStyle w:val="CM-body"/>
        <w:rPr>
          <w:rFonts w:ascii="Calibri" w:eastAsiaTheme="majorEastAsia" w:hAnsi="Calibri" w:cstheme="majorBidi"/>
          <w:sz w:val="32"/>
          <w:szCs w:val="32"/>
        </w:rPr>
      </w:pPr>
      <w:r>
        <w:t xml:space="preserve"> </w:t>
      </w:r>
      <w:r w:rsidR="00201560">
        <w:br w:type="page"/>
      </w:r>
    </w:p>
    <w:p w14:paraId="2D883AA8" w14:textId="77777777" w:rsidR="00EF5CA3" w:rsidRDefault="00F60209" w:rsidP="00201560">
      <w:pPr>
        <w:pStyle w:val="CM-heading1"/>
      </w:pPr>
      <w:r>
        <w:lastRenderedPageBreak/>
        <w:t>Introduction</w:t>
      </w:r>
    </w:p>
    <w:p w14:paraId="5E3F077C" w14:textId="5D54CEA9" w:rsidR="00D4314D" w:rsidRDefault="00813897" w:rsidP="004B289B">
      <w:pPr>
        <w:pStyle w:val="CM-body"/>
        <w:ind w:firstLine="708"/>
      </w:pPr>
      <w:r>
        <w:t xml:space="preserve">This paper describes financial analysis </w:t>
      </w:r>
      <w:r w:rsidR="00AE11F5">
        <w:t xml:space="preserve">spreadsheet file </w:t>
      </w:r>
      <w:r>
        <w:t xml:space="preserve">made in program MS Excel created for middle-size construction company based in Prague, Czech Republic. This company is oriented in underground and utility constructions with almost 30 years long tradition. Company had about 55-85 employees during recent 5 years and operates with annual turnover around 3,8 to 5,8 mil. € during same period. It is joint stock company owned by one subject. </w:t>
      </w:r>
    </w:p>
    <w:p w14:paraId="675D3BB3" w14:textId="1E79B3F7" w:rsidR="00813897" w:rsidRPr="000D4DC1" w:rsidRDefault="00813897" w:rsidP="004B289B">
      <w:pPr>
        <w:pStyle w:val="CM-body"/>
        <w:ind w:firstLine="708"/>
      </w:pPr>
      <w:r>
        <w:t>There were many reasons to make this financial analysis. One of them was the lack of economic performance measurement</w:t>
      </w:r>
      <w:r w:rsidR="00457F69">
        <w:t xml:space="preserve"> process. Financial analysis was made externally to be part of </w:t>
      </w:r>
      <w:r w:rsidR="00E756DC">
        <w:t xml:space="preserve">required Financial Report but never used as a proper </w:t>
      </w:r>
      <w:r w:rsidR="00AE11F5">
        <w:t>instrument</w:t>
      </w:r>
      <w:r w:rsidR="00E756DC">
        <w:t xml:space="preserve"> to analyze financial situation inside a company. With this </w:t>
      </w:r>
      <w:r w:rsidR="00AE11F5">
        <w:t>spreadsheet file</w:t>
      </w:r>
      <w:r w:rsidR="00E756DC">
        <w:t xml:space="preserve"> will the company able to use it as identification system for company’s performance improvement. </w:t>
      </w:r>
      <w:r w:rsidR="00831E45">
        <w:t>Also,</w:t>
      </w:r>
      <w:r w:rsidR="00E756DC">
        <w:t xml:space="preserve"> financial analysis will be able to be used as benchmarking </w:t>
      </w:r>
      <w:r w:rsidR="00AE11F5">
        <w:t>instrument</w:t>
      </w:r>
      <w:r w:rsidR="00E756DC">
        <w:t xml:space="preserve"> to compare </w:t>
      </w:r>
      <w:r w:rsidR="00831E45">
        <w:t>companies’</w:t>
      </w:r>
      <w:r w:rsidR="00E756DC">
        <w:t xml:space="preserve"> performance with other similar subjects</w:t>
      </w:r>
      <w:r w:rsidR="00831E45">
        <w:t xml:space="preserve"> on the market. Another reason to change strategy around financial analysis was a personal change on the accountant position which is always brings change with accounting policy. Author of this </w:t>
      </w:r>
      <w:r w:rsidR="00AE11F5">
        <w:t>spreadsheet file</w:t>
      </w:r>
      <w:r w:rsidR="00831E45">
        <w:t xml:space="preserve"> uses it to educate himself and gain an insight to cash-flows inside a company.</w:t>
      </w:r>
    </w:p>
    <w:p w14:paraId="330F12B0" w14:textId="067E93D0" w:rsidR="00E336CB" w:rsidRDefault="00831E45" w:rsidP="00E336CB">
      <w:pPr>
        <w:pStyle w:val="CM-heading1"/>
      </w:pPr>
      <w:r>
        <w:t xml:space="preserve">Financial analysis </w:t>
      </w:r>
      <w:r w:rsidR="00AE11F5">
        <w:t>spreadsheet file</w:t>
      </w:r>
    </w:p>
    <w:p w14:paraId="644CC054" w14:textId="587E6ACA" w:rsidR="00E336CB" w:rsidRDefault="00100AF1" w:rsidP="004B289B">
      <w:pPr>
        <w:pStyle w:val="CM-heading2"/>
        <w:ind w:firstLine="708"/>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This </w:t>
      </w:r>
      <w:r w:rsidR="00AE11F5">
        <w:rPr>
          <w:rFonts w:asciiTheme="minorHAnsi" w:eastAsiaTheme="minorHAnsi" w:hAnsiTheme="minorHAnsi" w:cstheme="minorBidi"/>
          <w:b w:val="0"/>
          <w:sz w:val="22"/>
          <w:szCs w:val="22"/>
        </w:rPr>
        <w:t>file</w:t>
      </w:r>
      <w:r>
        <w:rPr>
          <w:rFonts w:asciiTheme="minorHAnsi" w:eastAsiaTheme="minorHAnsi" w:hAnsiTheme="minorHAnsi" w:cstheme="minorBidi"/>
          <w:b w:val="0"/>
          <w:sz w:val="22"/>
          <w:szCs w:val="22"/>
        </w:rPr>
        <w:t xml:space="preserve"> is in MS Excel format and contains 35 lists which can be divided into 3 parts:</w:t>
      </w:r>
    </w:p>
    <w:p w14:paraId="1F670D72" w14:textId="162AA2FF" w:rsidR="00100AF1" w:rsidRPr="00100AF1" w:rsidRDefault="00100AF1" w:rsidP="00100AF1">
      <w:pPr>
        <w:pStyle w:val="CM-body"/>
        <w:numPr>
          <w:ilvl w:val="0"/>
          <w:numId w:val="23"/>
        </w:numPr>
        <w:rPr>
          <w:b/>
          <w:bCs/>
        </w:rPr>
      </w:pPr>
      <w:r w:rsidRPr="00100AF1">
        <w:rPr>
          <w:b/>
          <w:bCs/>
        </w:rPr>
        <w:t xml:space="preserve">Inputs, absolute indicators. </w:t>
      </w:r>
      <w:r>
        <w:t xml:space="preserve">This part contains data from Balance sheet and Profit and loss statement. This </w:t>
      </w:r>
      <w:r w:rsidR="00AE11F5">
        <w:t>instrument</w:t>
      </w:r>
      <w:r>
        <w:t xml:space="preserve"> accepts data s</w:t>
      </w:r>
      <w:r w:rsidR="00357B75">
        <w:t>tructure</w:t>
      </w:r>
      <w:r>
        <w:t xml:space="preserve"> that </w:t>
      </w:r>
      <w:r w:rsidR="00357B75">
        <w:t xml:space="preserve">follows accounting regulations, that are valid from 2016 in Czech Republic. This part contains input data (number of employees, tax rates etc.), Balance sheet, Profit and loss statement, Cash-flow statement, Vertical and Horizontal analysis of both Balance sheer and Profit and loss statement. Those data are then showed as structured data. User can see how divided Assets, Reserves, Liabilities, Revenues and Costs are. Thanks to the accounting regulations’ structure user </w:t>
      </w:r>
      <w:r w:rsidR="003C54B2">
        <w:t xml:space="preserve">also </w:t>
      </w:r>
      <w:r w:rsidR="00357B75">
        <w:t xml:space="preserve">can see </w:t>
      </w:r>
      <w:r w:rsidR="003C54B2">
        <w:t>Costs &amp; Revenues that comes just from operational activity. This part finishes with profit analysis, that contains many widely accepted indexes like EAT, EBT, EBIT, EBITDA, NOPAT &amp; OIBDA.</w:t>
      </w:r>
    </w:p>
    <w:p w14:paraId="5DEAA69C" w14:textId="389DD916" w:rsidR="00100AF1" w:rsidRDefault="003C54B2" w:rsidP="00100AF1">
      <w:pPr>
        <w:pStyle w:val="CM-body"/>
      </w:pPr>
      <w:r>
        <w:rPr>
          <w:noProof/>
        </w:rPr>
        <w:drawing>
          <wp:inline distT="0" distB="0" distL="0" distR="0" wp14:anchorId="17221A47" wp14:editId="488341C6">
            <wp:extent cx="5621655" cy="1409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8705" cy="1416483"/>
                    </a:xfrm>
                    <a:prstGeom prst="rect">
                      <a:avLst/>
                    </a:prstGeom>
                    <a:noFill/>
                  </pic:spPr>
                </pic:pic>
              </a:graphicData>
            </a:graphic>
          </wp:inline>
        </w:drawing>
      </w:r>
    </w:p>
    <w:p w14:paraId="4EAD318E" w14:textId="1BEADFE2" w:rsidR="00100AF1" w:rsidRPr="00100AF1" w:rsidRDefault="003C54B2" w:rsidP="00100AF1">
      <w:pPr>
        <w:pStyle w:val="CM-body"/>
      </w:pPr>
      <w:r>
        <w:rPr>
          <w:noProof/>
        </w:rPr>
        <w:drawing>
          <wp:inline distT="0" distB="0" distL="0" distR="0" wp14:anchorId="3D448250" wp14:editId="1FD3D04D">
            <wp:extent cx="5622290" cy="157115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0108" cy="1578929"/>
                    </a:xfrm>
                    <a:prstGeom prst="rect">
                      <a:avLst/>
                    </a:prstGeom>
                    <a:noFill/>
                  </pic:spPr>
                </pic:pic>
              </a:graphicData>
            </a:graphic>
          </wp:inline>
        </w:drawing>
      </w:r>
    </w:p>
    <w:p w14:paraId="012540ED" w14:textId="0C790082" w:rsidR="003C54B2" w:rsidRDefault="00956675" w:rsidP="003C54B2">
      <w:pPr>
        <w:pStyle w:val="CM-captionfigure"/>
      </w:pPr>
      <w:r>
        <w:t>Graph</w:t>
      </w:r>
      <w:r w:rsidR="004B289B">
        <w:t xml:space="preserve"> 1</w:t>
      </w:r>
      <w:r w:rsidR="003C54B2">
        <w:t xml:space="preserve">: </w:t>
      </w:r>
      <w:r w:rsidR="00E251CF">
        <w:t>Evolution of assets and long-term material stuff</w:t>
      </w:r>
      <w:r w:rsidR="003C54B2" w:rsidRPr="00A105BF">
        <w:t xml:space="preserve"> </w:t>
      </w:r>
      <w:r w:rsidR="003C54B2">
        <w:t xml:space="preserve">(source: </w:t>
      </w:r>
      <w:r w:rsidR="003C54B2" w:rsidRPr="00A105BF">
        <w:t>Author</w:t>
      </w:r>
      <w:r w:rsidR="00E251CF">
        <w:t xml:space="preserve">, FA </w:t>
      </w:r>
      <w:r w:rsidR="00AE11F5">
        <w:t>spreadsheet file</w:t>
      </w:r>
      <w:r w:rsidR="003C54B2">
        <w:t>)</w:t>
      </w:r>
    </w:p>
    <w:p w14:paraId="32AC953F" w14:textId="69B2EB91" w:rsidR="00E251CF" w:rsidRPr="00687EEB" w:rsidRDefault="00E251CF" w:rsidP="00E251CF">
      <w:pPr>
        <w:pStyle w:val="CM-bulletlist"/>
        <w:numPr>
          <w:ilvl w:val="0"/>
          <w:numId w:val="23"/>
        </w:numPr>
        <w:rPr>
          <w:b/>
          <w:bCs/>
        </w:rPr>
      </w:pPr>
      <w:r w:rsidRPr="00E251CF">
        <w:rPr>
          <w:b/>
          <w:bCs/>
        </w:rPr>
        <w:lastRenderedPageBreak/>
        <w:t>Ratios</w:t>
      </w:r>
      <w:r>
        <w:rPr>
          <w:b/>
          <w:bCs/>
        </w:rPr>
        <w:t xml:space="preserve">. </w:t>
      </w:r>
      <w:r>
        <w:t>Next lists show ratios of input data and indicates some important values to analyze financial situation of researched subject. Those are Profitability ratios, Liquidity ratios, Activity ratios</w:t>
      </w:r>
      <w:r w:rsidR="00687EEB">
        <w:t>,</w:t>
      </w:r>
      <w:r>
        <w:t xml:space="preserve"> </w:t>
      </w:r>
      <w:r w:rsidR="00687EEB">
        <w:t>Indebtedness</w:t>
      </w:r>
      <w:r>
        <w:t xml:space="preserve"> ratios</w:t>
      </w:r>
      <w:r w:rsidR="00687EEB">
        <w:t xml:space="preserve"> and ratios based on cash-flow. I also added ratios used on the capital market in case of researching company that operates with stocks (not the case of this company). This part finishes with DuPont analysis as a framework for analyzing fundamental performance. </w:t>
      </w:r>
    </w:p>
    <w:p w14:paraId="1003FBC3" w14:textId="291D8E97" w:rsidR="00687EEB" w:rsidRDefault="00956675" w:rsidP="00687EEB">
      <w:pPr>
        <w:pStyle w:val="CM-bulletlist"/>
        <w:numPr>
          <w:ilvl w:val="0"/>
          <w:numId w:val="0"/>
        </w:numPr>
        <w:ind w:left="340" w:hanging="227"/>
        <w:rPr>
          <w:b/>
          <w:bCs/>
        </w:rPr>
      </w:pPr>
      <w:r w:rsidRPr="00956675">
        <w:drawing>
          <wp:inline distT="0" distB="0" distL="0" distR="0" wp14:anchorId="54FB0411" wp14:editId="038A8606">
            <wp:extent cx="5760720" cy="1833245"/>
            <wp:effectExtent l="0" t="0" r="0" b="0"/>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833245"/>
                    </a:xfrm>
                    <a:prstGeom prst="rect">
                      <a:avLst/>
                    </a:prstGeom>
                    <a:noFill/>
                    <a:ln>
                      <a:noFill/>
                    </a:ln>
                  </pic:spPr>
                </pic:pic>
              </a:graphicData>
            </a:graphic>
          </wp:inline>
        </w:drawing>
      </w:r>
    </w:p>
    <w:p w14:paraId="3B87D5A8" w14:textId="75F619D4" w:rsidR="00687EEB" w:rsidRDefault="00956675" w:rsidP="00687EEB">
      <w:pPr>
        <w:pStyle w:val="CM-captionfigure"/>
      </w:pPr>
      <w:r>
        <w:t>Table 1</w:t>
      </w:r>
      <w:r w:rsidR="00687EEB">
        <w:t xml:space="preserve">: </w:t>
      </w:r>
      <w:r>
        <w:t>Example of Liquidity ratios</w:t>
      </w:r>
      <w:r w:rsidR="00687EEB" w:rsidRPr="00A105BF">
        <w:t xml:space="preserve"> </w:t>
      </w:r>
      <w:r w:rsidR="00687EEB">
        <w:t xml:space="preserve">(source: </w:t>
      </w:r>
      <w:r w:rsidR="00687EEB" w:rsidRPr="00A105BF">
        <w:t>Author</w:t>
      </w:r>
      <w:r w:rsidR="00687EEB">
        <w:t xml:space="preserve">, FA </w:t>
      </w:r>
      <w:r w:rsidR="00AE11F5">
        <w:t>spreadsheet file</w:t>
      </w:r>
      <w:r w:rsidR="00687EEB">
        <w:t>)</w:t>
      </w:r>
    </w:p>
    <w:p w14:paraId="3624C434" w14:textId="50750776" w:rsidR="00687EEB" w:rsidRDefault="00956675" w:rsidP="00687EEB">
      <w:pPr>
        <w:pStyle w:val="CM-bulletlist"/>
        <w:numPr>
          <w:ilvl w:val="0"/>
          <w:numId w:val="0"/>
        </w:numPr>
        <w:ind w:left="340" w:hanging="227"/>
        <w:rPr>
          <w:b/>
          <w:bCs/>
        </w:rPr>
      </w:pPr>
      <w:r>
        <w:rPr>
          <w:noProof/>
        </w:rPr>
        <w:drawing>
          <wp:inline distT="0" distB="0" distL="0" distR="0" wp14:anchorId="04744FD4" wp14:editId="692B03D1">
            <wp:extent cx="5760720" cy="3205480"/>
            <wp:effectExtent l="0" t="0" r="11430" b="13970"/>
            <wp:docPr id="206" name="Graf 206">
              <a:extLst xmlns:a="http://schemas.openxmlformats.org/drawingml/2006/main">
                <a:ext uri="{FF2B5EF4-FFF2-40B4-BE49-F238E27FC236}">
                  <a16:creationId xmlns:a16="http://schemas.microsoft.com/office/drawing/2014/main" id="{A6DE7E31-C240-4FB0-B34B-AAB8725A4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1DA5AC" w14:textId="44B33561" w:rsidR="00956675" w:rsidRDefault="00956675" w:rsidP="00956675">
      <w:pPr>
        <w:pStyle w:val="CM-captionfigure"/>
      </w:pPr>
      <w:r>
        <w:t>Graph</w:t>
      </w:r>
      <w:r>
        <w:t xml:space="preserve"> 2: Example of Liquidity ratios</w:t>
      </w:r>
      <w:r w:rsidRPr="00A105BF">
        <w:t xml:space="preserve"> </w:t>
      </w:r>
      <w:r>
        <w:t xml:space="preserve">(source: </w:t>
      </w:r>
      <w:r w:rsidRPr="00A105BF">
        <w:t>Author</w:t>
      </w:r>
      <w:r>
        <w:t xml:space="preserve">, FA </w:t>
      </w:r>
      <w:r w:rsidR="00AE11F5">
        <w:t>Spreadsheet file</w:t>
      </w:r>
      <w:r>
        <w:t>)</w:t>
      </w:r>
    </w:p>
    <w:p w14:paraId="6F636AD5" w14:textId="7BA24BCB" w:rsidR="00AC7646" w:rsidRDefault="00956675" w:rsidP="00AC7646">
      <w:pPr>
        <w:pStyle w:val="CM-bulletlist"/>
        <w:numPr>
          <w:ilvl w:val="0"/>
          <w:numId w:val="23"/>
        </w:numPr>
        <w:rPr>
          <w:b/>
          <w:bCs/>
        </w:rPr>
      </w:pPr>
      <w:r>
        <w:rPr>
          <w:b/>
          <w:bCs/>
        </w:rPr>
        <w:t xml:space="preserve">Models and Ratings. </w:t>
      </w:r>
      <w:r>
        <w:t xml:space="preserve">Last part of this </w:t>
      </w:r>
      <w:r w:rsidR="00AE11F5">
        <w:t>spreadsheet file</w:t>
      </w:r>
      <w:r>
        <w:t xml:space="preserve"> contains </w:t>
      </w:r>
      <w:r w:rsidR="00403FF0">
        <w:t>B</w:t>
      </w:r>
      <w:r>
        <w:t xml:space="preserve">ankruptcy models, </w:t>
      </w:r>
      <w:r w:rsidR="00403FF0">
        <w:t>C</w:t>
      </w:r>
      <w:r>
        <w:t xml:space="preserve">reditworthiness models, </w:t>
      </w:r>
      <w:r w:rsidR="00403FF0">
        <w:t>G</w:t>
      </w:r>
      <w:r>
        <w:t xml:space="preserve">olden rules and </w:t>
      </w:r>
      <w:r w:rsidRPr="00956675">
        <w:t>employee and productivity data</w:t>
      </w:r>
      <w:r>
        <w:t>.</w:t>
      </w:r>
      <w:r w:rsidR="00692461">
        <w:t xml:space="preserve"> There are bankruptcy models like Altman Z-score with two additional variations, one made for small firms, one with added influence of not-repaid debts. I also added Indexes IN95, IN99, IN01 and IN05 created by Ivan and Inka </w:t>
      </w:r>
      <w:proofErr w:type="spellStart"/>
      <w:r w:rsidR="00692461">
        <w:t>Neumaier</w:t>
      </w:r>
      <w:proofErr w:type="spellEnd"/>
      <w:r w:rsidR="00403FF0">
        <w:t xml:space="preserve">. Last Bankruptcy model is </w:t>
      </w:r>
      <w:proofErr w:type="spellStart"/>
      <w:r w:rsidR="00403FF0">
        <w:t>Aspekt</w:t>
      </w:r>
      <w:proofErr w:type="spellEnd"/>
      <w:r w:rsidR="00403FF0">
        <w:t xml:space="preserve"> Global Rating. </w:t>
      </w:r>
      <w:r w:rsidR="00463973">
        <w:t>There</w:t>
      </w:r>
      <w:r w:rsidR="00403FF0">
        <w:t xml:space="preserve"> are </w:t>
      </w:r>
      <w:r w:rsidR="00463973">
        <w:t xml:space="preserve">also </w:t>
      </w:r>
      <w:r w:rsidR="00403FF0">
        <w:t>creditworthine</w:t>
      </w:r>
      <w:r w:rsidR="00463973">
        <w:t xml:space="preserve">ss models like </w:t>
      </w:r>
      <w:proofErr w:type="spellStart"/>
      <w:r w:rsidR="00463973">
        <w:t>bonity</w:t>
      </w:r>
      <w:proofErr w:type="spellEnd"/>
      <w:r w:rsidR="00463973">
        <w:t xml:space="preserve"> index, </w:t>
      </w:r>
      <w:proofErr w:type="spellStart"/>
      <w:r w:rsidR="00463973">
        <w:t>Kralick</w:t>
      </w:r>
      <w:proofErr w:type="spellEnd"/>
      <w:r w:rsidR="00463973">
        <w:t xml:space="preserve"> </w:t>
      </w:r>
      <w:proofErr w:type="spellStart"/>
      <w:r w:rsidR="00463973">
        <w:t>Quicktest</w:t>
      </w:r>
      <w:proofErr w:type="spellEnd"/>
      <w:r w:rsidR="00463973">
        <w:t xml:space="preserve"> and </w:t>
      </w:r>
      <w:proofErr w:type="spellStart"/>
      <w:r w:rsidR="00463973">
        <w:t>Grünwald</w:t>
      </w:r>
      <w:proofErr w:type="spellEnd"/>
      <w:r w:rsidR="00463973">
        <w:t xml:space="preserve"> </w:t>
      </w:r>
      <w:proofErr w:type="spellStart"/>
      <w:r w:rsidR="00463973">
        <w:t>bonity</w:t>
      </w:r>
      <w:proofErr w:type="spellEnd"/>
      <w:r w:rsidR="00463973">
        <w:t xml:space="preserve"> model. There are indexes on the next list to be used to follow Golden rules. Those are </w:t>
      </w:r>
      <w:proofErr w:type="spellStart"/>
      <w:r w:rsidR="00F41554">
        <w:t>Goden</w:t>
      </w:r>
      <w:proofErr w:type="spellEnd"/>
      <w:r w:rsidR="00F41554">
        <w:t xml:space="preserve"> rule of financing, Golden rule balancing risk, Pari rule and</w:t>
      </w:r>
      <w:r w:rsidR="00116EB9">
        <w:t xml:space="preserve"> Golden rate rule</w:t>
      </w:r>
      <w:r w:rsidR="00463973">
        <w:t>. I plan to add more models to extend the range of indexes.</w:t>
      </w:r>
      <w:r w:rsidR="00116EB9">
        <w:t xml:space="preserve"> Last list contains data about employees and labor costs</w:t>
      </w:r>
      <w:r w:rsidR="00AC7646">
        <w:t>, then productivity and performance data per employee and total for whole company.</w:t>
      </w:r>
    </w:p>
    <w:p w14:paraId="6BC40B46" w14:textId="29325C15" w:rsidR="00AC7646" w:rsidRDefault="00AC7646" w:rsidP="00AE11F5">
      <w:pPr>
        <w:pStyle w:val="CM-captionfigure"/>
      </w:pPr>
      <w:r w:rsidRPr="00AC7646">
        <w:rPr>
          <w:bCs/>
          <w:lang w:val="cs-CZ"/>
        </w:rPr>
        <w:lastRenderedPageBreak/>
        <w:drawing>
          <wp:inline distT="0" distB="0" distL="0" distR="0" wp14:anchorId="55AFE579" wp14:editId="6A361AC1">
            <wp:extent cx="5760720" cy="4702810"/>
            <wp:effectExtent l="0" t="0" r="0" b="0"/>
            <wp:docPr id="7" name="Obrázek 6">
              <a:extLst xmlns:a="http://schemas.openxmlformats.org/drawingml/2006/main">
                <a:ext uri="{FF2B5EF4-FFF2-40B4-BE49-F238E27FC236}">
                  <a16:creationId xmlns:a16="http://schemas.microsoft.com/office/drawing/2014/main" id="{AB7AD8D3-5344-45A3-A8A8-6D5F3B072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AB7AD8D3-5344-45A3-A8A8-6D5F3B07264B}"/>
                        </a:ext>
                      </a:extLst>
                    </pic:cNvPr>
                    <pic:cNvPicPr>
                      <a:picLocks noChangeAspect="1"/>
                    </pic:cNvPicPr>
                  </pic:nvPicPr>
                  <pic:blipFill>
                    <a:blip r:embed="rId12"/>
                    <a:stretch>
                      <a:fillRect/>
                    </a:stretch>
                  </pic:blipFill>
                  <pic:spPr>
                    <a:xfrm>
                      <a:off x="0" y="0"/>
                      <a:ext cx="5760720" cy="4702810"/>
                    </a:xfrm>
                    <a:prstGeom prst="rect">
                      <a:avLst/>
                    </a:prstGeom>
                  </pic:spPr>
                </pic:pic>
              </a:graphicData>
            </a:graphic>
          </wp:inline>
        </w:drawing>
      </w:r>
      <w:r>
        <w:t xml:space="preserve">Graph </w:t>
      </w:r>
      <w:r>
        <w:t>3</w:t>
      </w:r>
      <w:r>
        <w:t xml:space="preserve">: </w:t>
      </w:r>
      <w:r>
        <w:t>DuPont analysis</w:t>
      </w:r>
      <w:r w:rsidRPr="00A105BF">
        <w:t xml:space="preserve"> </w:t>
      </w:r>
      <w:r>
        <w:t xml:space="preserve">(source: </w:t>
      </w:r>
      <w:r w:rsidRPr="00A105BF">
        <w:t>Author</w:t>
      </w:r>
      <w:r>
        <w:t xml:space="preserve">, FA </w:t>
      </w:r>
      <w:r w:rsidR="00AE11F5">
        <w:t>spreadsheet file</w:t>
      </w:r>
      <w:r>
        <w:t>)</w:t>
      </w:r>
    </w:p>
    <w:p w14:paraId="6241497A" w14:textId="31E0212F" w:rsidR="00AC7646" w:rsidRDefault="00AC7646" w:rsidP="00AC7646">
      <w:pPr>
        <w:pStyle w:val="CM-bulletlist"/>
        <w:numPr>
          <w:ilvl w:val="0"/>
          <w:numId w:val="0"/>
        </w:numPr>
        <w:ind w:left="340" w:hanging="227"/>
        <w:jc w:val="center"/>
        <w:rPr>
          <w:b/>
          <w:bCs/>
        </w:rPr>
      </w:pPr>
      <w:r w:rsidRPr="00AC7646">
        <w:rPr>
          <w:b/>
          <w:bCs/>
          <w:lang w:val="cs-CZ"/>
        </w:rPr>
        <w:drawing>
          <wp:inline distT="0" distB="0" distL="0" distR="0" wp14:anchorId="3A76770C" wp14:editId="073CB497">
            <wp:extent cx="3810000" cy="3507337"/>
            <wp:effectExtent l="0" t="0" r="0" b="0"/>
            <wp:docPr id="208" name="Obrázek 6">
              <a:extLst xmlns:a="http://schemas.openxmlformats.org/drawingml/2006/main">
                <a:ext uri="{FF2B5EF4-FFF2-40B4-BE49-F238E27FC236}">
                  <a16:creationId xmlns:a16="http://schemas.microsoft.com/office/drawing/2014/main" id="{5E33FB9D-8F26-426F-998F-B2271FDF77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5E33FB9D-8F26-426F-998F-B2271FDF77AD}"/>
                        </a:ext>
                      </a:extLst>
                    </pic:cNvPr>
                    <pic:cNvPicPr>
                      <a:picLocks noChangeAspect="1"/>
                    </pic:cNvPicPr>
                  </pic:nvPicPr>
                  <pic:blipFill>
                    <a:blip r:embed="rId13"/>
                    <a:stretch>
                      <a:fillRect/>
                    </a:stretch>
                  </pic:blipFill>
                  <pic:spPr>
                    <a:xfrm>
                      <a:off x="0" y="0"/>
                      <a:ext cx="3821833" cy="3518230"/>
                    </a:xfrm>
                    <a:prstGeom prst="rect">
                      <a:avLst/>
                    </a:prstGeom>
                  </pic:spPr>
                </pic:pic>
              </a:graphicData>
            </a:graphic>
          </wp:inline>
        </w:drawing>
      </w:r>
    </w:p>
    <w:p w14:paraId="234C96B9" w14:textId="0B7992CA" w:rsidR="00AC7646" w:rsidRDefault="00AC7646" w:rsidP="00AC7646">
      <w:pPr>
        <w:pStyle w:val="CM-captionfigure"/>
      </w:pPr>
      <w:r>
        <w:t xml:space="preserve">Graph </w:t>
      </w:r>
      <w:r>
        <w:t>4</w:t>
      </w:r>
      <w:r>
        <w:t xml:space="preserve">: </w:t>
      </w:r>
      <w:r>
        <w:t>E</w:t>
      </w:r>
      <w:r>
        <w:t>mployees and labor costs</w:t>
      </w:r>
      <w:r>
        <w:t xml:space="preserve"> </w:t>
      </w:r>
      <w:r>
        <w:t xml:space="preserve">(source: </w:t>
      </w:r>
      <w:r w:rsidRPr="00A105BF">
        <w:t>Author</w:t>
      </w:r>
      <w:r>
        <w:t xml:space="preserve">, FA </w:t>
      </w:r>
      <w:r w:rsidR="00AE11F5">
        <w:t>spreadsheet file</w:t>
      </w:r>
      <w:r>
        <w:t>)</w:t>
      </w:r>
    </w:p>
    <w:p w14:paraId="30011E78" w14:textId="402D3DC2" w:rsidR="00AC7646" w:rsidRDefault="00AC7646" w:rsidP="00383F70">
      <w:pPr>
        <w:pStyle w:val="CM-heading2"/>
        <w:ind w:firstLine="708"/>
      </w:pPr>
      <w:r>
        <w:rPr>
          <w:rFonts w:asciiTheme="minorHAnsi" w:eastAsiaTheme="minorHAnsi" w:hAnsiTheme="minorHAnsi" w:cstheme="minorBidi"/>
          <w:b w:val="0"/>
          <w:sz w:val="22"/>
          <w:szCs w:val="22"/>
        </w:rPr>
        <w:lastRenderedPageBreak/>
        <w:t>According to financial analysis</w:t>
      </w:r>
      <w:r w:rsidR="00383F70">
        <w:rPr>
          <w:rFonts w:asciiTheme="minorHAnsi" w:eastAsiaTheme="minorHAnsi" w:hAnsiTheme="minorHAnsi" w:cstheme="minorBidi"/>
          <w:b w:val="0"/>
          <w:sz w:val="22"/>
          <w:szCs w:val="22"/>
        </w:rPr>
        <w:t xml:space="preserve"> this company has good, but also bad results depending on the index that is used. Altman model and indebtedness showed positive results. IN95, IN99, IN05 &amp; </w:t>
      </w:r>
      <w:proofErr w:type="spellStart"/>
      <w:r w:rsidR="00383F70">
        <w:rPr>
          <w:rFonts w:asciiTheme="minorHAnsi" w:eastAsiaTheme="minorHAnsi" w:hAnsiTheme="minorHAnsi" w:cstheme="minorBidi"/>
          <w:b w:val="0"/>
          <w:sz w:val="22"/>
          <w:szCs w:val="22"/>
        </w:rPr>
        <w:t>Aspekt</w:t>
      </w:r>
      <w:proofErr w:type="spellEnd"/>
      <w:r w:rsidR="00383F70">
        <w:rPr>
          <w:rFonts w:asciiTheme="minorHAnsi" w:eastAsiaTheme="minorHAnsi" w:hAnsiTheme="minorHAnsi" w:cstheme="minorBidi"/>
          <w:b w:val="0"/>
          <w:sz w:val="22"/>
          <w:szCs w:val="22"/>
        </w:rPr>
        <w:t xml:space="preserve"> Global Rating showed irresolutely results and </w:t>
      </w:r>
      <w:proofErr w:type="spellStart"/>
      <w:r w:rsidR="00383F70">
        <w:rPr>
          <w:rFonts w:asciiTheme="minorHAnsi" w:eastAsiaTheme="minorHAnsi" w:hAnsiTheme="minorHAnsi" w:cstheme="minorBidi"/>
          <w:b w:val="0"/>
          <w:sz w:val="22"/>
          <w:szCs w:val="22"/>
        </w:rPr>
        <w:t>Kralick</w:t>
      </w:r>
      <w:proofErr w:type="spellEnd"/>
      <w:r w:rsidR="00383F70">
        <w:rPr>
          <w:rFonts w:asciiTheme="minorHAnsi" w:eastAsiaTheme="minorHAnsi" w:hAnsiTheme="minorHAnsi" w:cstheme="minorBidi"/>
          <w:b w:val="0"/>
          <w:sz w:val="22"/>
          <w:szCs w:val="22"/>
        </w:rPr>
        <w:t xml:space="preserve"> </w:t>
      </w:r>
      <w:proofErr w:type="spellStart"/>
      <w:r w:rsidR="00383F70">
        <w:rPr>
          <w:rFonts w:asciiTheme="minorHAnsi" w:eastAsiaTheme="minorHAnsi" w:hAnsiTheme="minorHAnsi" w:cstheme="minorBidi"/>
          <w:b w:val="0"/>
          <w:sz w:val="22"/>
          <w:szCs w:val="22"/>
        </w:rPr>
        <w:t>QuickTest</w:t>
      </w:r>
      <w:proofErr w:type="spellEnd"/>
      <w:r w:rsidR="00383F70">
        <w:rPr>
          <w:rFonts w:asciiTheme="minorHAnsi" w:eastAsiaTheme="minorHAnsi" w:hAnsiTheme="minorHAnsi" w:cstheme="minorBidi"/>
          <w:b w:val="0"/>
          <w:sz w:val="22"/>
          <w:szCs w:val="22"/>
        </w:rPr>
        <w:t xml:space="preserve"> showed negative worrying results. There was also a negative trend of higher labor cost even when number of employees declined.</w:t>
      </w:r>
    </w:p>
    <w:p w14:paraId="0C80BDB2" w14:textId="3820EEC4" w:rsidR="00AC7646" w:rsidRDefault="00383F70" w:rsidP="00AC7646">
      <w:pPr>
        <w:pStyle w:val="CM-heading1"/>
      </w:pPr>
      <w:r>
        <w:t xml:space="preserve">Weaknesses of financial analysis </w:t>
      </w:r>
      <w:r w:rsidR="00AE11F5">
        <w:t>spreadsheet file</w:t>
      </w:r>
    </w:p>
    <w:p w14:paraId="4086D23A" w14:textId="094E0DED" w:rsidR="00383F70" w:rsidRDefault="00CE483F" w:rsidP="00383F70">
      <w:pPr>
        <w:pStyle w:val="CM-heading2"/>
        <w:ind w:firstLine="708"/>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Results, that </w:t>
      </w:r>
      <w:r w:rsidR="00AE11F5">
        <w:rPr>
          <w:rFonts w:asciiTheme="minorHAnsi" w:eastAsiaTheme="minorHAnsi" w:hAnsiTheme="minorHAnsi" w:cstheme="minorBidi"/>
          <w:b w:val="0"/>
          <w:sz w:val="22"/>
          <w:szCs w:val="22"/>
        </w:rPr>
        <w:t>spreadsheet file</w:t>
      </w:r>
      <w:r>
        <w:rPr>
          <w:rFonts w:asciiTheme="minorHAnsi" w:eastAsiaTheme="minorHAnsi" w:hAnsiTheme="minorHAnsi" w:cstheme="minorBidi"/>
          <w:b w:val="0"/>
          <w:sz w:val="22"/>
          <w:szCs w:val="22"/>
        </w:rPr>
        <w:t xml:space="preserve"> showed, must be analyzed carefully because those numbers does not show many other important values that has to be taken on board. Those numbers depend on the quality of accountants’ reports. Those reports also do not care about the change of those values in time. Same with technologies. Many companies do not value </w:t>
      </w:r>
      <w:r w:rsidR="009B51F3">
        <w:rPr>
          <w:rFonts w:asciiTheme="minorHAnsi" w:eastAsiaTheme="minorHAnsi" w:hAnsiTheme="minorHAnsi" w:cstheme="minorBidi"/>
          <w:b w:val="0"/>
          <w:sz w:val="22"/>
          <w:szCs w:val="22"/>
        </w:rPr>
        <w:t>intangible assets properly like qualifications</w:t>
      </w:r>
      <w:r w:rsidR="00C44611">
        <w:rPr>
          <w:rFonts w:asciiTheme="minorHAnsi" w:eastAsiaTheme="minorHAnsi" w:hAnsiTheme="minorHAnsi" w:cstheme="minorBidi"/>
          <w:b w:val="0"/>
          <w:sz w:val="22"/>
          <w:szCs w:val="22"/>
        </w:rPr>
        <w:t>, licenses</w:t>
      </w:r>
      <w:r w:rsidR="009B51F3">
        <w:rPr>
          <w:rFonts w:asciiTheme="minorHAnsi" w:eastAsiaTheme="minorHAnsi" w:hAnsiTheme="minorHAnsi" w:cstheme="minorBidi"/>
          <w:b w:val="0"/>
          <w:sz w:val="22"/>
          <w:szCs w:val="22"/>
        </w:rPr>
        <w:t xml:space="preserve"> etc. Results of financial analysis can be also </w:t>
      </w:r>
      <w:r w:rsidR="00C44611">
        <w:rPr>
          <w:rFonts w:asciiTheme="minorHAnsi" w:eastAsiaTheme="minorHAnsi" w:hAnsiTheme="minorHAnsi" w:cstheme="minorBidi"/>
          <w:b w:val="0"/>
          <w:sz w:val="22"/>
          <w:szCs w:val="22"/>
        </w:rPr>
        <w:t xml:space="preserve">influenced by non-operative activities that are not part of the core of company business. Risks are not part of this </w:t>
      </w:r>
      <w:r w:rsidR="00AE11F5">
        <w:rPr>
          <w:rFonts w:asciiTheme="minorHAnsi" w:eastAsiaTheme="minorHAnsi" w:hAnsiTheme="minorHAnsi" w:cstheme="minorBidi"/>
          <w:b w:val="0"/>
          <w:sz w:val="22"/>
          <w:szCs w:val="22"/>
        </w:rPr>
        <w:t>instrument</w:t>
      </w:r>
      <w:r w:rsidR="00C44611">
        <w:rPr>
          <w:rFonts w:asciiTheme="minorHAnsi" w:eastAsiaTheme="minorHAnsi" w:hAnsiTheme="minorHAnsi" w:cstheme="minorBidi"/>
          <w:b w:val="0"/>
          <w:sz w:val="22"/>
          <w:szCs w:val="22"/>
        </w:rPr>
        <w:t xml:space="preserve">. For </w:t>
      </w:r>
      <w:r w:rsidR="00CD7E91">
        <w:rPr>
          <w:rFonts w:asciiTheme="minorHAnsi" w:eastAsiaTheme="minorHAnsi" w:hAnsiTheme="minorHAnsi" w:cstheme="minorBidi"/>
          <w:b w:val="0"/>
          <w:sz w:val="22"/>
          <w:szCs w:val="22"/>
        </w:rPr>
        <w:t>example,</w:t>
      </w:r>
      <w:r w:rsidR="00C44611">
        <w:rPr>
          <w:rFonts w:asciiTheme="minorHAnsi" w:eastAsiaTheme="minorHAnsi" w:hAnsiTheme="minorHAnsi" w:cstheme="minorBidi"/>
          <w:b w:val="0"/>
          <w:sz w:val="22"/>
          <w:szCs w:val="22"/>
        </w:rPr>
        <w:t xml:space="preserve"> even though ROE is meant to be one of the profitability ratios it does evaluate </w:t>
      </w:r>
      <w:r w:rsidR="00CD7E91">
        <w:rPr>
          <w:rFonts w:asciiTheme="minorHAnsi" w:eastAsiaTheme="minorHAnsi" w:hAnsiTheme="minorHAnsi" w:cstheme="minorBidi"/>
          <w:b w:val="0"/>
          <w:sz w:val="22"/>
          <w:szCs w:val="22"/>
        </w:rPr>
        <w:t xml:space="preserve">from </w:t>
      </w:r>
      <w:r w:rsidR="00C44611">
        <w:rPr>
          <w:rFonts w:asciiTheme="minorHAnsi" w:eastAsiaTheme="minorHAnsi" w:hAnsiTheme="minorHAnsi" w:cstheme="minorBidi"/>
          <w:b w:val="0"/>
          <w:sz w:val="22"/>
          <w:szCs w:val="22"/>
        </w:rPr>
        <w:t>accounting profit, but no</w:t>
      </w:r>
      <w:r w:rsidR="00CD7E91">
        <w:rPr>
          <w:rFonts w:asciiTheme="minorHAnsi" w:eastAsiaTheme="minorHAnsi" w:hAnsiTheme="minorHAnsi" w:cstheme="minorBidi"/>
          <w:b w:val="0"/>
          <w:sz w:val="22"/>
          <w:szCs w:val="22"/>
        </w:rPr>
        <w:t>t</w:t>
      </w:r>
      <w:r w:rsidR="00C44611">
        <w:rPr>
          <w:rFonts w:asciiTheme="minorHAnsi" w:eastAsiaTheme="minorHAnsi" w:hAnsiTheme="minorHAnsi" w:cstheme="minorBidi"/>
          <w:b w:val="0"/>
          <w:sz w:val="22"/>
          <w:szCs w:val="22"/>
        </w:rPr>
        <w:t xml:space="preserve"> </w:t>
      </w:r>
      <w:r w:rsidR="00CD7E91">
        <w:rPr>
          <w:rFonts w:asciiTheme="minorHAnsi" w:eastAsiaTheme="minorHAnsi" w:hAnsiTheme="minorHAnsi" w:cstheme="minorBidi"/>
          <w:b w:val="0"/>
          <w:sz w:val="22"/>
          <w:szCs w:val="22"/>
        </w:rPr>
        <w:t xml:space="preserve">from </w:t>
      </w:r>
      <w:r w:rsidR="00C44611">
        <w:rPr>
          <w:rFonts w:asciiTheme="minorHAnsi" w:eastAsiaTheme="minorHAnsi" w:hAnsiTheme="minorHAnsi" w:cstheme="minorBidi"/>
          <w:b w:val="0"/>
          <w:sz w:val="22"/>
          <w:szCs w:val="22"/>
        </w:rPr>
        <w:t>the economic</w:t>
      </w:r>
      <w:r w:rsidR="00CD7E91">
        <w:rPr>
          <w:rFonts w:asciiTheme="minorHAnsi" w:eastAsiaTheme="minorHAnsi" w:hAnsiTheme="minorHAnsi" w:cstheme="minorBidi"/>
          <w:b w:val="0"/>
          <w:sz w:val="22"/>
          <w:szCs w:val="22"/>
        </w:rPr>
        <w:t xml:space="preserve"> profit, that contains opportunity costs. Another weakness of this financial analysis </w:t>
      </w:r>
      <w:r w:rsidR="00AE11F5">
        <w:rPr>
          <w:rFonts w:asciiTheme="minorHAnsi" w:eastAsiaTheme="minorHAnsi" w:hAnsiTheme="minorHAnsi" w:cstheme="minorBidi"/>
          <w:b w:val="0"/>
          <w:sz w:val="22"/>
          <w:szCs w:val="22"/>
        </w:rPr>
        <w:t>instrument</w:t>
      </w:r>
      <w:r w:rsidR="00CD7E91">
        <w:rPr>
          <w:rFonts w:asciiTheme="minorHAnsi" w:eastAsiaTheme="minorHAnsi" w:hAnsiTheme="minorHAnsi" w:cstheme="minorBidi"/>
          <w:b w:val="0"/>
          <w:sz w:val="22"/>
          <w:szCs w:val="22"/>
        </w:rPr>
        <w:t xml:space="preserve"> is that leased assets are not </w:t>
      </w:r>
      <w:r w:rsidR="00027CC6">
        <w:rPr>
          <w:rFonts w:asciiTheme="minorHAnsi" w:eastAsiaTheme="minorHAnsi" w:hAnsiTheme="minorHAnsi" w:cstheme="minorBidi"/>
          <w:b w:val="0"/>
          <w:sz w:val="22"/>
          <w:szCs w:val="22"/>
        </w:rPr>
        <w:t>showed as foreign capital.</w:t>
      </w:r>
    </w:p>
    <w:p w14:paraId="4F422F27" w14:textId="403FEDA8" w:rsidR="00027CC6" w:rsidRPr="00027CC6" w:rsidRDefault="00027CC6" w:rsidP="00027CC6">
      <w:pPr>
        <w:pStyle w:val="CM-body"/>
      </w:pPr>
      <w:r>
        <w:t>Another important issue with data from Balance sheet and Profit and loss statement is that especially in case of smaller businesses any unusual situation can influence the result and</w:t>
      </w:r>
      <w:r w:rsidR="00BB7DB3">
        <w:t xml:space="preserve"> might</w:t>
      </w:r>
      <w:r>
        <w:t xml:space="preserve"> show unrealistic values. Smaller businesses also do not fill those statements properly which embarrasses the possibility of benchmarking other businesses.</w:t>
      </w:r>
    </w:p>
    <w:p w14:paraId="164B65D2" w14:textId="65ADD619" w:rsidR="00BB7DB3" w:rsidRDefault="0074008E" w:rsidP="00BB7DB3">
      <w:pPr>
        <w:pStyle w:val="CM-heading1"/>
      </w:pPr>
      <w:r>
        <w:t>Con</w:t>
      </w:r>
      <w:r w:rsidR="007D2E9C">
        <w:t>c</w:t>
      </w:r>
      <w:r>
        <w:t>lusion</w:t>
      </w:r>
    </w:p>
    <w:p w14:paraId="1C5BBC6F" w14:textId="0BF91324" w:rsidR="004B289B" w:rsidRDefault="00BB7DB3" w:rsidP="004B289B">
      <w:pPr>
        <w:pStyle w:val="CM-body"/>
      </w:pPr>
      <w:r>
        <w:t xml:space="preserve">This </w:t>
      </w:r>
      <w:r w:rsidR="00AE11F5">
        <w:t>file</w:t>
      </w:r>
      <w:r>
        <w:t xml:space="preserve"> will be used for future evaluation of productivity of the company. Also, it is great basic </w:t>
      </w:r>
      <w:r w:rsidR="00AE11F5">
        <w:t>instrument</w:t>
      </w:r>
      <w:r>
        <w:t xml:space="preserve"> to future updates. Models can and will be added to specify current results, but also to project the future development of the company. If there will be possibility to find data from competition across the market this </w:t>
      </w:r>
      <w:r w:rsidR="00AE11F5">
        <w:t>file</w:t>
      </w:r>
      <w:r w:rsidR="000F015F">
        <w:t xml:space="preserve"> can help with</w:t>
      </w:r>
      <w:r>
        <w:t xml:space="preserve"> benchmarking.</w:t>
      </w:r>
      <w:r w:rsidR="000F015F">
        <w:t xml:space="preserve"> Financial analysis provided by this </w:t>
      </w:r>
      <w:r w:rsidR="00AE11F5">
        <w:t>instrument</w:t>
      </w:r>
      <w:r w:rsidR="000F015F">
        <w:t xml:space="preserve"> can be valuable during innovation a modernization process as a source for inputs for feasibility study.</w:t>
      </w:r>
    </w:p>
    <w:p w14:paraId="1DB3F85E" w14:textId="77777777" w:rsidR="00B13510" w:rsidRPr="00B13510" w:rsidRDefault="00B13510" w:rsidP="00B13510">
      <w:pPr>
        <w:pStyle w:val="CM-referencesheading"/>
      </w:pPr>
      <w:r>
        <w:t>References</w:t>
      </w:r>
    </w:p>
    <w:p w14:paraId="4F356284" w14:textId="0DDDD335" w:rsidR="00692461" w:rsidRPr="00116EB9" w:rsidRDefault="00F60209" w:rsidP="00692461">
      <w:pPr>
        <w:pStyle w:val="CM-references"/>
        <w:numPr>
          <w:ilvl w:val="0"/>
          <w:numId w:val="0"/>
        </w:numPr>
        <w:ind w:left="567" w:hanging="567"/>
        <w:rPr>
          <w:rFonts w:cstheme="minorHAnsi"/>
        </w:rPr>
      </w:pPr>
      <w:r>
        <w:t>[1]</w:t>
      </w:r>
      <w:r>
        <w:tab/>
      </w:r>
      <w:proofErr w:type="spellStart"/>
      <w:r w:rsidR="00692461" w:rsidRPr="00116EB9">
        <w:rPr>
          <w:rFonts w:cstheme="minorHAnsi"/>
        </w:rPr>
        <w:t>Neumaierová</w:t>
      </w:r>
      <w:proofErr w:type="spellEnd"/>
      <w:r w:rsidR="00692461" w:rsidRPr="00116EB9">
        <w:rPr>
          <w:rFonts w:cstheme="minorHAnsi"/>
        </w:rPr>
        <w:t xml:space="preserve"> Inka: </w:t>
      </w:r>
      <w:proofErr w:type="spellStart"/>
      <w:r w:rsidR="00692461" w:rsidRPr="00116EB9">
        <w:rPr>
          <w:rFonts w:cstheme="minorHAnsi"/>
        </w:rPr>
        <w:t>Řízení</w:t>
      </w:r>
      <w:proofErr w:type="spellEnd"/>
      <w:r w:rsidR="00692461" w:rsidRPr="00116EB9">
        <w:rPr>
          <w:rFonts w:cstheme="minorHAnsi"/>
        </w:rPr>
        <w:t xml:space="preserve"> </w:t>
      </w:r>
      <w:proofErr w:type="spellStart"/>
      <w:r w:rsidR="00692461" w:rsidRPr="00116EB9">
        <w:rPr>
          <w:rFonts w:cstheme="minorHAnsi"/>
        </w:rPr>
        <w:t>hodnoty</w:t>
      </w:r>
      <w:proofErr w:type="spellEnd"/>
      <w:r w:rsidR="00692461" w:rsidRPr="00116EB9">
        <w:rPr>
          <w:rFonts w:cstheme="minorHAnsi"/>
        </w:rPr>
        <w:t xml:space="preserve">, </w:t>
      </w:r>
      <w:proofErr w:type="gramStart"/>
      <w:r w:rsidR="00692461" w:rsidRPr="00116EB9">
        <w:rPr>
          <w:rFonts w:cstheme="minorHAnsi"/>
        </w:rPr>
        <w:t>Praha :</w:t>
      </w:r>
      <w:proofErr w:type="gramEnd"/>
      <w:r w:rsidR="00692461" w:rsidRPr="00116EB9">
        <w:rPr>
          <w:rFonts w:cstheme="minorHAnsi"/>
        </w:rPr>
        <w:t xml:space="preserve"> VŠE, 1998, 137 </w:t>
      </w:r>
      <w:r w:rsidR="00403FF0" w:rsidRPr="00116EB9">
        <w:rPr>
          <w:rFonts w:cstheme="minorHAnsi"/>
        </w:rPr>
        <w:t>pg</w:t>
      </w:r>
      <w:r w:rsidR="00692461" w:rsidRPr="00116EB9">
        <w:rPr>
          <w:rFonts w:cstheme="minorHAnsi"/>
        </w:rPr>
        <w:t>., ISBN 80-7079-921-8</w:t>
      </w:r>
    </w:p>
    <w:p w14:paraId="27F8B355" w14:textId="566DC050" w:rsidR="00F60209" w:rsidRPr="00116EB9" w:rsidRDefault="00F60209" w:rsidP="00F60209">
      <w:pPr>
        <w:pStyle w:val="CM-references"/>
        <w:numPr>
          <w:ilvl w:val="0"/>
          <w:numId w:val="0"/>
        </w:numPr>
        <w:ind w:left="567" w:hanging="567"/>
        <w:rPr>
          <w:rFonts w:cstheme="minorHAnsi"/>
        </w:rPr>
      </w:pPr>
      <w:r w:rsidRPr="00116EB9">
        <w:rPr>
          <w:rFonts w:cstheme="minorHAnsi"/>
        </w:rPr>
        <w:t>[2]</w:t>
      </w:r>
      <w:r w:rsidRPr="00116EB9">
        <w:rPr>
          <w:rFonts w:cstheme="minorHAnsi"/>
        </w:rPr>
        <w:tab/>
      </w:r>
      <w:proofErr w:type="spellStart"/>
      <w:r w:rsidR="00692461" w:rsidRPr="00116EB9">
        <w:rPr>
          <w:rFonts w:cstheme="minorHAnsi"/>
        </w:rPr>
        <w:t>Neumaier</w:t>
      </w:r>
      <w:proofErr w:type="spellEnd"/>
      <w:r w:rsidR="00692461" w:rsidRPr="00116EB9">
        <w:rPr>
          <w:rFonts w:cstheme="minorHAnsi"/>
        </w:rPr>
        <w:t xml:space="preserve"> Ivan - </w:t>
      </w:r>
      <w:proofErr w:type="spellStart"/>
      <w:r w:rsidR="00692461" w:rsidRPr="00116EB9">
        <w:rPr>
          <w:rFonts w:cstheme="minorHAnsi"/>
        </w:rPr>
        <w:t>Neumaierová</w:t>
      </w:r>
      <w:proofErr w:type="spellEnd"/>
      <w:r w:rsidR="00692461" w:rsidRPr="00116EB9">
        <w:rPr>
          <w:rFonts w:cstheme="minorHAnsi"/>
        </w:rPr>
        <w:t xml:space="preserve"> Inka: </w:t>
      </w:r>
      <w:proofErr w:type="spellStart"/>
      <w:r w:rsidR="00692461" w:rsidRPr="00116EB9">
        <w:rPr>
          <w:rFonts w:cstheme="minorHAnsi"/>
        </w:rPr>
        <w:t>Výkonnost</w:t>
      </w:r>
      <w:proofErr w:type="spellEnd"/>
      <w:r w:rsidR="00692461" w:rsidRPr="00116EB9">
        <w:rPr>
          <w:rFonts w:cstheme="minorHAnsi"/>
        </w:rPr>
        <w:t xml:space="preserve"> a </w:t>
      </w:r>
      <w:proofErr w:type="spellStart"/>
      <w:r w:rsidR="00692461" w:rsidRPr="00116EB9">
        <w:rPr>
          <w:rFonts w:cstheme="minorHAnsi"/>
        </w:rPr>
        <w:t>tržní</w:t>
      </w:r>
      <w:proofErr w:type="spellEnd"/>
      <w:r w:rsidR="00692461" w:rsidRPr="00116EB9">
        <w:rPr>
          <w:rFonts w:cstheme="minorHAnsi"/>
        </w:rPr>
        <w:t xml:space="preserve"> </w:t>
      </w:r>
      <w:proofErr w:type="spellStart"/>
      <w:r w:rsidR="00692461" w:rsidRPr="00116EB9">
        <w:rPr>
          <w:rFonts w:cstheme="minorHAnsi"/>
        </w:rPr>
        <w:t>hodnota</w:t>
      </w:r>
      <w:proofErr w:type="spellEnd"/>
      <w:r w:rsidR="00692461" w:rsidRPr="00116EB9">
        <w:rPr>
          <w:rFonts w:cstheme="minorHAnsi"/>
        </w:rPr>
        <w:t xml:space="preserve"> </w:t>
      </w:r>
      <w:proofErr w:type="spellStart"/>
      <w:r w:rsidR="00692461" w:rsidRPr="00116EB9">
        <w:rPr>
          <w:rFonts w:cstheme="minorHAnsi"/>
        </w:rPr>
        <w:t>firmy</w:t>
      </w:r>
      <w:proofErr w:type="spellEnd"/>
      <w:r w:rsidR="00692461" w:rsidRPr="00116EB9">
        <w:rPr>
          <w:rFonts w:cstheme="minorHAnsi"/>
        </w:rPr>
        <w:t xml:space="preserve">, </w:t>
      </w:r>
      <w:proofErr w:type="spellStart"/>
      <w:r w:rsidR="00692461" w:rsidRPr="00116EB9">
        <w:rPr>
          <w:rFonts w:cstheme="minorHAnsi"/>
        </w:rPr>
        <w:t>Grada</w:t>
      </w:r>
      <w:proofErr w:type="spellEnd"/>
      <w:r w:rsidR="00692461" w:rsidRPr="00116EB9">
        <w:rPr>
          <w:rFonts w:cstheme="minorHAnsi"/>
        </w:rPr>
        <w:t xml:space="preserve">, 2002, 215 </w:t>
      </w:r>
      <w:r w:rsidR="00403FF0" w:rsidRPr="00116EB9">
        <w:rPr>
          <w:rFonts w:cstheme="minorHAnsi"/>
        </w:rPr>
        <w:t>pg</w:t>
      </w:r>
      <w:r w:rsidR="00692461" w:rsidRPr="00116EB9">
        <w:rPr>
          <w:rFonts w:cstheme="minorHAnsi"/>
        </w:rPr>
        <w:t>., ISBN 80-247-0125-1</w:t>
      </w:r>
    </w:p>
    <w:p w14:paraId="0B047D5A" w14:textId="62599240" w:rsidR="00532D79" w:rsidRPr="00116EB9" w:rsidRDefault="00F60209" w:rsidP="00F60209">
      <w:pPr>
        <w:pStyle w:val="CM-references"/>
        <w:numPr>
          <w:ilvl w:val="0"/>
          <w:numId w:val="0"/>
        </w:numPr>
        <w:ind w:left="567" w:hanging="567"/>
        <w:rPr>
          <w:rFonts w:cstheme="minorHAnsi"/>
        </w:rPr>
      </w:pPr>
      <w:r w:rsidRPr="00116EB9">
        <w:rPr>
          <w:rFonts w:cstheme="minorHAnsi"/>
        </w:rPr>
        <w:t>[3]</w:t>
      </w:r>
      <w:r w:rsidRPr="00116EB9">
        <w:rPr>
          <w:rFonts w:cstheme="minorHAnsi"/>
        </w:rPr>
        <w:tab/>
      </w:r>
      <w:r w:rsidR="00403FF0" w:rsidRPr="00116EB9">
        <w:rPr>
          <w:rFonts w:cstheme="minorHAnsi"/>
        </w:rPr>
        <w:t xml:space="preserve">Altman Edward: Financial ratios, </w:t>
      </w:r>
      <w:proofErr w:type="spellStart"/>
      <w:r w:rsidR="00403FF0" w:rsidRPr="00116EB9">
        <w:rPr>
          <w:rFonts w:cstheme="minorHAnsi"/>
        </w:rPr>
        <w:t>diskriminant</w:t>
      </w:r>
      <w:proofErr w:type="spellEnd"/>
      <w:r w:rsidR="00403FF0" w:rsidRPr="00116EB9">
        <w:rPr>
          <w:rFonts w:cstheme="minorHAnsi"/>
        </w:rPr>
        <w:t xml:space="preserve"> analysis and the prediction of corporate bankruptcy. The Journal of Finance, 1968</w:t>
      </w:r>
    </w:p>
    <w:p w14:paraId="214C8A14" w14:textId="6BDD99BC" w:rsidR="00403FF0" w:rsidRPr="00116EB9" w:rsidRDefault="00403FF0" w:rsidP="002D4239">
      <w:pPr>
        <w:pStyle w:val="CM-references"/>
        <w:numPr>
          <w:ilvl w:val="0"/>
          <w:numId w:val="0"/>
        </w:numPr>
        <w:ind w:left="567" w:hanging="567"/>
        <w:rPr>
          <w:rFonts w:cstheme="minorHAnsi"/>
        </w:rPr>
      </w:pPr>
      <w:r w:rsidRPr="00116EB9">
        <w:rPr>
          <w:rFonts w:cstheme="minorHAnsi"/>
        </w:rPr>
        <w:t>[</w:t>
      </w:r>
      <w:r w:rsidRPr="00116EB9">
        <w:rPr>
          <w:rFonts w:cstheme="minorHAnsi"/>
        </w:rPr>
        <w:t>4</w:t>
      </w:r>
      <w:r w:rsidRPr="00116EB9">
        <w:rPr>
          <w:rFonts w:cstheme="minorHAnsi"/>
        </w:rPr>
        <w:t>]</w:t>
      </w:r>
      <w:r w:rsidRPr="00116EB9">
        <w:rPr>
          <w:rFonts w:cstheme="minorHAnsi"/>
        </w:rPr>
        <w:tab/>
      </w:r>
      <w:proofErr w:type="spellStart"/>
      <w:r w:rsidRPr="00116EB9">
        <w:rPr>
          <w:rFonts w:cstheme="minorHAnsi"/>
        </w:rPr>
        <w:t>Knápková</w:t>
      </w:r>
      <w:proofErr w:type="spellEnd"/>
      <w:r w:rsidRPr="00116EB9">
        <w:rPr>
          <w:rFonts w:cstheme="minorHAnsi"/>
        </w:rPr>
        <w:t>, Adriana</w:t>
      </w:r>
      <w:r w:rsidRPr="00116EB9">
        <w:rPr>
          <w:rFonts w:cstheme="minorHAnsi"/>
        </w:rPr>
        <w:t xml:space="preserve"> </w:t>
      </w:r>
      <w:proofErr w:type="spellStart"/>
      <w:r w:rsidRPr="00116EB9">
        <w:rPr>
          <w:rFonts w:cstheme="minorHAnsi"/>
        </w:rPr>
        <w:t>Finanční</w:t>
      </w:r>
      <w:proofErr w:type="spellEnd"/>
      <w:r w:rsidRPr="00116EB9">
        <w:rPr>
          <w:rFonts w:cstheme="minorHAnsi"/>
        </w:rPr>
        <w:t xml:space="preserve"> </w:t>
      </w:r>
      <w:proofErr w:type="spellStart"/>
      <w:proofErr w:type="gramStart"/>
      <w:r w:rsidRPr="00116EB9">
        <w:rPr>
          <w:rFonts w:cstheme="minorHAnsi"/>
        </w:rPr>
        <w:t>analýza</w:t>
      </w:r>
      <w:proofErr w:type="spellEnd"/>
      <w:r w:rsidRPr="00116EB9">
        <w:rPr>
          <w:rFonts w:cstheme="minorHAnsi"/>
        </w:rPr>
        <w:t xml:space="preserve"> :</w:t>
      </w:r>
      <w:proofErr w:type="gramEnd"/>
      <w:r w:rsidRPr="00116EB9">
        <w:rPr>
          <w:rFonts w:cstheme="minorHAnsi"/>
        </w:rPr>
        <w:t xml:space="preserve"> </w:t>
      </w:r>
      <w:proofErr w:type="spellStart"/>
      <w:r w:rsidRPr="00116EB9">
        <w:rPr>
          <w:rFonts w:cstheme="minorHAnsi"/>
        </w:rPr>
        <w:t>komplexní</w:t>
      </w:r>
      <w:proofErr w:type="spellEnd"/>
      <w:r w:rsidRPr="00116EB9">
        <w:rPr>
          <w:rFonts w:cstheme="minorHAnsi"/>
        </w:rPr>
        <w:t xml:space="preserve"> </w:t>
      </w:r>
      <w:proofErr w:type="spellStart"/>
      <w:r w:rsidRPr="00116EB9">
        <w:rPr>
          <w:rFonts w:cstheme="minorHAnsi"/>
        </w:rPr>
        <w:t>průvodce</w:t>
      </w:r>
      <w:proofErr w:type="spellEnd"/>
      <w:r w:rsidRPr="00116EB9">
        <w:rPr>
          <w:rFonts w:cstheme="minorHAnsi"/>
        </w:rPr>
        <w:t xml:space="preserve"> s </w:t>
      </w:r>
      <w:proofErr w:type="spellStart"/>
      <w:r w:rsidRPr="00116EB9">
        <w:rPr>
          <w:rFonts w:cstheme="minorHAnsi"/>
        </w:rPr>
        <w:t>příklady</w:t>
      </w:r>
      <w:proofErr w:type="spellEnd"/>
      <w:r w:rsidRPr="00116EB9">
        <w:rPr>
          <w:rFonts w:cstheme="minorHAnsi"/>
        </w:rPr>
        <w:t xml:space="preserve"> / Adriana </w:t>
      </w:r>
      <w:proofErr w:type="spellStart"/>
      <w:r w:rsidRPr="00116EB9">
        <w:rPr>
          <w:rFonts w:cstheme="minorHAnsi"/>
        </w:rPr>
        <w:t>Knápková</w:t>
      </w:r>
      <w:proofErr w:type="spellEnd"/>
      <w:r w:rsidRPr="00116EB9">
        <w:rPr>
          <w:rFonts w:cstheme="minorHAnsi"/>
        </w:rPr>
        <w:t xml:space="preserve">, </w:t>
      </w:r>
      <w:proofErr w:type="spellStart"/>
      <w:r w:rsidRPr="00116EB9">
        <w:rPr>
          <w:rFonts w:cstheme="minorHAnsi"/>
        </w:rPr>
        <w:t>Drahomíra</w:t>
      </w:r>
      <w:proofErr w:type="spellEnd"/>
      <w:r w:rsidRPr="00116EB9">
        <w:rPr>
          <w:rFonts w:cstheme="minorHAnsi"/>
        </w:rPr>
        <w:t xml:space="preserve"> </w:t>
      </w:r>
      <w:proofErr w:type="spellStart"/>
      <w:r w:rsidRPr="00116EB9">
        <w:rPr>
          <w:rFonts w:cstheme="minorHAnsi"/>
        </w:rPr>
        <w:t>Pavelková</w:t>
      </w:r>
      <w:proofErr w:type="spellEnd"/>
      <w:r w:rsidRPr="00116EB9">
        <w:rPr>
          <w:rFonts w:cstheme="minorHAnsi"/>
        </w:rPr>
        <w:t xml:space="preserve">, Daniel </w:t>
      </w:r>
      <w:proofErr w:type="spellStart"/>
      <w:r w:rsidRPr="00116EB9">
        <w:rPr>
          <w:rFonts w:cstheme="minorHAnsi"/>
        </w:rPr>
        <w:t>Remeš</w:t>
      </w:r>
      <w:proofErr w:type="spellEnd"/>
      <w:r w:rsidRPr="00116EB9">
        <w:rPr>
          <w:rFonts w:cstheme="minorHAnsi"/>
        </w:rPr>
        <w:t xml:space="preserve">, Karel </w:t>
      </w:r>
      <w:proofErr w:type="spellStart"/>
      <w:r w:rsidRPr="00116EB9">
        <w:rPr>
          <w:rFonts w:cstheme="minorHAnsi"/>
        </w:rPr>
        <w:t>Šteker</w:t>
      </w:r>
      <w:proofErr w:type="spellEnd"/>
      <w:r w:rsidRPr="00116EB9">
        <w:rPr>
          <w:rFonts w:cstheme="minorHAnsi"/>
        </w:rPr>
        <w:t xml:space="preserve">. 3., </w:t>
      </w:r>
      <w:r w:rsidRPr="00116EB9">
        <w:rPr>
          <w:rFonts w:cstheme="minorHAnsi"/>
        </w:rPr>
        <w:t>complete updated release</w:t>
      </w:r>
      <w:r w:rsidRPr="00116EB9">
        <w:rPr>
          <w:rFonts w:cstheme="minorHAnsi"/>
        </w:rPr>
        <w:t xml:space="preserve">. Praha: </w:t>
      </w:r>
      <w:proofErr w:type="spellStart"/>
      <w:r w:rsidRPr="00116EB9">
        <w:rPr>
          <w:rFonts w:cstheme="minorHAnsi"/>
        </w:rPr>
        <w:t>Grada</w:t>
      </w:r>
      <w:proofErr w:type="spellEnd"/>
      <w:r w:rsidRPr="00116EB9">
        <w:rPr>
          <w:rFonts w:cstheme="minorHAnsi"/>
        </w:rPr>
        <w:t xml:space="preserve"> Publishing, 2017. 228 </w:t>
      </w:r>
      <w:proofErr w:type="spellStart"/>
      <w:r w:rsidRPr="00116EB9">
        <w:rPr>
          <w:rFonts w:cstheme="minorHAnsi"/>
        </w:rPr>
        <w:t>pg</w:t>
      </w:r>
      <w:proofErr w:type="spellEnd"/>
      <w:r w:rsidRPr="00116EB9">
        <w:rPr>
          <w:rFonts w:cstheme="minorHAnsi"/>
        </w:rPr>
        <w:t>,</w:t>
      </w:r>
      <w:r w:rsidRPr="00116EB9">
        <w:rPr>
          <w:rFonts w:cstheme="minorHAnsi"/>
        </w:rPr>
        <w:t xml:space="preserve"> ISBN:978-80-271-0563-2</w:t>
      </w:r>
    </w:p>
    <w:p w14:paraId="2F5FA3AE" w14:textId="1ACCB68D" w:rsidR="00463973" w:rsidRPr="00116EB9" w:rsidRDefault="00463973" w:rsidP="002D4239">
      <w:pPr>
        <w:pStyle w:val="CM-references"/>
        <w:numPr>
          <w:ilvl w:val="0"/>
          <w:numId w:val="0"/>
        </w:numPr>
        <w:ind w:left="567" w:hanging="567"/>
        <w:rPr>
          <w:rFonts w:cstheme="minorHAnsi"/>
          <w:color w:val="404040"/>
          <w:shd w:val="clear" w:color="auto" w:fill="FFFFFF"/>
        </w:rPr>
      </w:pPr>
      <w:r w:rsidRPr="00116EB9">
        <w:rPr>
          <w:rFonts w:cstheme="minorHAnsi"/>
        </w:rPr>
        <w:t>[</w:t>
      </w:r>
      <w:r w:rsidRPr="00116EB9">
        <w:rPr>
          <w:rFonts w:cstheme="minorHAnsi"/>
        </w:rPr>
        <w:t>5</w:t>
      </w:r>
      <w:r w:rsidRPr="00116EB9">
        <w:rPr>
          <w:rFonts w:cstheme="minorHAnsi"/>
        </w:rPr>
        <w:t>]</w:t>
      </w:r>
      <w:r w:rsidRPr="00116EB9">
        <w:rPr>
          <w:rFonts w:cstheme="minorHAnsi"/>
        </w:rPr>
        <w:tab/>
      </w:r>
      <w:proofErr w:type="spellStart"/>
      <w:r w:rsidRPr="00116EB9">
        <w:rPr>
          <w:rFonts w:cstheme="minorHAnsi"/>
          <w:color w:val="404040"/>
          <w:shd w:val="clear" w:color="auto" w:fill="FFFFFF"/>
        </w:rPr>
        <w:t>Grünwald</w:t>
      </w:r>
      <w:proofErr w:type="spellEnd"/>
      <w:r w:rsidRPr="00116EB9">
        <w:rPr>
          <w:rFonts w:cstheme="minorHAnsi"/>
          <w:color w:val="404040"/>
          <w:shd w:val="clear" w:color="auto" w:fill="FFFFFF"/>
        </w:rPr>
        <w:t xml:space="preserve"> Rolf - </w:t>
      </w:r>
      <w:proofErr w:type="spellStart"/>
      <w:r w:rsidRPr="00116EB9">
        <w:rPr>
          <w:rFonts w:cstheme="minorHAnsi"/>
          <w:color w:val="404040"/>
          <w:shd w:val="clear" w:color="auto" w:fill="FFFFFF"/>
        </w:rPr>
        <w:t>Holečková</w:t>
      </w:r>
      <w:proofErr w:type="spellEnd"/>
      <w:r w:rsidRPr="00116EB9">
        <w:rPr>
          <w:rFonts w:cstheme="minorHAnsi"/>
          <w:color w:val="404040"/>
          <w:shd w:val="clear" w:color="auto" w:fill="FFFFFF"/>
        </w:rPr>
        <w:t xml:space="preserve"> </w:t>
      </w:r>
      <w:proofErr w:type="spellStart"/>
      <w:r w:rsidRPr="00116EB9">
        <w:rPr>
          <w:rFonts w:cstheme="minorHAnsi"/>
          <w:color w:val="404040"/>
          <w:shd w:val="clear" w:color="auto" w:fill="FFFFFF"/>
        </w:rPr>
        <w:t>Jaroslava</w:t>
      </w:r>
      <w:proofErr w:type="spellEnd"/>
      <w:r w:rsidRPr="00116EB9">
        <w:rPr>
          <w:rFonts w:cstheme="minorHAnsi"/>
          <w:color w:val="404040"/>
          <w:shd w:val="clear" w:color="auto" w:fill="FFFFFF"/>
        </w:rPr>
        <w:t xml:space="preserve">: </w:t>
      </w:r>
      <w:proofErr w:type="spellStart"/>
      <w:r w:rsidRPr="00116EB9">
        <w:rPr>
          <w:rFonts w:cstheme="minorHAnsi"/>
          <w:color w:val="404040"/>
          <w:shd w:val="clear" w:color="auto" w:fill="FFFFFF"/>
        </w:rPr>
        <w:t>Finanční</w:t>
      </w:r>
      <w:proofErr w:type="spellEnd"/>
      <w:r w:rsidRPr="00116EB9">
        <w:rPr>
          <w:rFonts w:cstheme="minorHAnsi"/>
          <w:color w:val="404040"/>
          <w:shd w:val="clear" w:color="auto" w:fill="FFFFFF"/>
        </w:rPr>
        <w:t xml:space="preserve"> </w:t>
      </w:r>
      <w:proofErr w:type="spellStart"/>
      <w:r w:rsidRPr="00116EB9">
        <w:rPr>
          <w:rFonts w:cstheme="minorHAnsi"/>
          <w:color w:val="404040"/>
          <w:shd w:val="clear" w:color="auto" w:fill="FFFFFF"/>
        </w:rPr>
        <w:t>analýza</w:t>
      </w:r>
      <w:proofErr w:type="spellEnd"/>
      <w:r w:rsidRPr="00116EB9">
        <w:rPr>
          <w:rFonts w:cstheme="minorHAnsi"/>
          <w:color w:val="404040"/>
          <w:shd w:val="clear" w:color="auto" w:fill="FFFFFF"/>
        </w:rPr>
        <w:t xml:space="preserve"> a </w:t>
      </w:r>
      <w:proofErr w:type="spellStart"/>
      <w:r w:rsidRPr="00116EB9">
        <w:rPr>
          <w:rFonts w:cstheme="minorHAnsi"/>
          <w:color w:val="404040"/>
          <w:shd w:val="clear" w:color="auto" w:fill="FFFFFF"/>
        </w:rPr>
        <w:t>plánování</w:t>
      </w:r>
      <w:proofErr w:type="spellEnd"/>
      <w:r w:rsidRPr="00116EB9">
        <w:rPr>
          <w:rFonts w:cstheme="minorHAnsi"/>
          <w:color w:val="404040"/>
          <w:shd w:val="clear" w:color="auto" w:fill="FFFFFF"/>
        </w:rPr>
        <w:t xml:space="preserve"> </w:t>
      </w:r>
      <w:proofErr w:type="spellStart"/>
      <w:r w:rsidRPr="00116EB9">
        <w:rPr>
          <w:rFonts w:cstheme="minorHAnsi"/>
          <w:color w:val="404040"/>
          <w:shd w:val="clear" w:color="auto" w:fill="FFFFFF"/>
        </w:rPr>
        <w:t>podniku</w:t>
      </w:r>
      <w:proofErr w:type="spellEnd"/>
      <w:r w:rsidRPr="00116EB9">
        <w:rPr>
          <w:rFonts w:cstheme="minorHAnsi"/>
          <w:color w:val="404040"/>
          <w:shd w:val="clear" w:color="auto" w:fill="FFFFFF"/>
        </w:rPr>
        <w:t xml:space="preserve">, 1. </w:t>
      </w:r>
      <w:proofErr w:type="spellStart"/>
      <w:r w:rsidRPr="00116EB9">
        <w:rPr>
          <w:rFonts w:cstheme="minorHAnsi"/>
          <w:color w:val="404040"/>
          <w:shd w:val="clear" w:color="auto" w:fill="FFFFFF"/>
        </w:rPr>
        <w:t>vydání</w:t>
      </w:r>
      <w:proofErr w:type="spellEnd"/>
      <w:r w:rsidRPr="00116EB9">
        <w:rPr>
          <w:rFonts w:cstheme="minorHAnsi"/>
          <w:color w:val="404040"/>
          <w:shd w:val="clear" w:color="auto" w:fill="FFFFFF"/>
        </w:rPr>
        <w:t xml:space="preserve"> Praha: </w:t>
      </w:r>
      <w:proofErr w:type="spellStart"/>
      <w:r w:rsidRPr="00116EB9">
        <w:rPr>
          <w:rFonts w:cstheme="minorHAnsi"/>
          <w:color w:val="404040"/>
          <w:shd w:val="clear" w:color="auto" w:fill="FFFFFF"/>
        </w:rPr>
        <w:t>Vysoká</w:t>
      </w:r>
      <w:proofErr w:type="spellEnd"/>
      <w:r w:rsidRPr="00116EB9">
        <w:rPr>
          <w:rFonts w:cstheme="minorHAnsi"/>
          <w:color w:val="404040"/>
          <w:shd w:val="clear" w:color="auto" w:fill="FFFFFF"/>
        </w:rPr>
        <w:t xml:space="preserve"> </w:t>
      </w:r>
      <w:proofErr w:type="spellStart"/>
      <w:r w:rsidRPr="00116EB9">
        <w:rPr>
          <w:rFonts w:cstheme="minorHAnsi"/>
          <w:color w:val="404040"/>
          <w:shd w:val="clear" w:color="auto" w:fill="FFFFFF"/>
        </w:rPr>
        <w:t>škola</w:t>
      </w:r>
      <w:proofErr w:type="spellEnd"/>
      <w:r w:rsidRPr="00116EB9">
        <w:rPr>
          <w:rFonts w:cstheme="minorHAnsi"/>
          <w:color w:val="404040"/>
          <w:shd w:val="clear" w:color="auto" w:fill="FFFFFF"/>
        </w:rPr>
        <w:t xml:space="preserve"> </w:t>
      </w:r>
      <w:proofErr w:type="spellStart"/>
      <w:r w:rsidRPr="00116EB9">
        <w:rPr>
          <w:rFonts w:cstheme="minorHAnsi"/>
          <w:color w:val="404040"/>
          <w:shd w:val="clear" w:color="auto" w:fill="FFFFFF"/>
        </w:rPr>
        <w:t>ekonomická</w:t>
      </w:r>
      <w:proofErr w:type="spellEnd"/>
      <w:r w:rsidRPr="00116EB9">
        <w:rPr>
          <w:rFonts w:cstheme="minorHAnsi"/>
          <w:color w:val="404040"/>
          <w:shd w:val="clear" w:color="auto" w:fill="FFFFFF"/>
        </w:rPr>
        <w:t xml:space="preserve"> v </w:t>
      </w:r>
      <w:proofErr w:type="spellStart"/>
      <w:r w:rsidRPr="00116EB9">
        <w:rPr>
          <w:rFonts w:cstheme="minorHAnsi"/>
          <w:color w:val="404040"/>
          <w:shd w:val="clear" w:color="auto" w:fill="FFFFFF"/>
        </w:rPr>
        <w:t>Praze</w:t>
      </w:r>
      <w:proofErr w:type="spellEnd"/>
      <w:r w:rsidRPr="00116EB9">
        <w:rPr>
          <w:rFonts w:cstheme="minorHAnsi"/>
          <w:color w:val="404040"/>
          <w:shd w:val="clear" w:color="auto" w:fill="FFFFFF"/>
        </w:rPr>
        <w:t>, 1997, 197 s., ISBN 80-7079-257-4</w:t>
      </w:r>
    </w:p>
    <w:p w14:paraId="701CC27E" w14:textId="1A64B1A9" w:rsidR="00F41554" w:rsidRPr="00116EB9" w:rsidRDefault="00F41554" w:rsidP="00F41554">
      <w:pPr>
        <w:pStyle w:val="CM-references"/>
        <w:numPr>
          <w:ilvl w:val="0"/>
          <w:numId w:val="0"/>
        </w:numPr>
        <w:ind w:left="567" w:hanging="567"/>
        <w:rPr>
          <w:rFonts w:cstheme="minorHAnsi"/>
          <w:color w:val="404040"/>
          <w:shd w:val="clear" w:color="auto" w:fill="FFFFFF"/>
        </w:rPr>
      </w:pPr>
      <w:r w:rsidRPr="00116EB9">
        <w:rPr>
          <w:rFonts w:cstheme="minorHAnsi"/>
        </w:rPr>
        <w:t>[</w:t>
      </w:r>
      <w:r w:rsidRPr="00116EB9">
        <w:rPr>
          <w:rFonts w:cstheme="minorHAnsi"/>
        </w:rPr>
        <w:t>6</w:t>
      </w:r>
      <w:r w:rsidRPr="00116EB9">
        <w:rPr>
          <w:rFonts w:cstheme="minorHAnsi"/>
        </w:rPr>
        <w:t>]</w:t>
      </w:r>
      <w:r w:rsidRPr="00116EB9">
        <w:rPr>
          <w:rFonts w:cstheme="minorHAnsi"/>
        </w:rPr>
        <w:tab/>
      </w:r>
      <w:proofErr w:type="spellStart"/>
      <w:r w:rsidR="00116EB9">
        <w:rPr>
          <w:rFonts w:cstheme="minorHAnsi"/>
          <w:color w:val="404040"/>
          <w:shd w:val="clear" w:color="auto" w:fill="FFFFFF"/>
        </w:rPr>
        <w:t>K</w:t>
      </w:r>
      <w:r w:rsidR="00116EB9" w:rsidRPr="00116EB9">
        <w:rPr>
          <w:rFonts w:cstheme="minorHAnsi"/>
          <w:color w:val="404040"/>
          <w:shd w:val="clear" w:color="auto" w:fill="FFFFFF"/>
        </w:rPr>
        <w:t>islingerová</w:t>
      </w:r>
      <w:proofErr w:type="spellEnd"/>
      <w:r w:rsidRPr="00116EB9">
        <w:rPr>
          <w:rFonts w:cstheme="minorHAnsi"/>
          <w:color w:val="404040"/>
          <w:shd w:val="clear" w:color="auto" w:fill="FFFFFF"/>
        </w:rPr>
        <w:t xml:space="preserve">, Eva. </w:t>
      </w:r>
      <w:proofErr w:type="spellStart"/>
      <w:r w:rsidRPr="00116EB9">
        <w:rPr>
          <w:rFonts w:cstheme="minorHAnsi"/>
          <w:color w:val="404040"/>
          <w:shd w:val="clear" w:color="auto" w:fill="FFFFFF"/>
        </w:rPr>
        <w:t>Manažerské</w:t>
      </w:r>
      <w:proofErr w:type="spellEnd"/>
      <w:r w:rsidRPr="00116EB9">
        <w:rPr>
          <w:rFonts w:cstheme="minorHAnsi"/>
          <w:color w:val="404040"/>
          <w:shd w:val="clear" w:color="auto" w:fill="FFFFFF"/>
        </w:rPr>
        <w:t xml:space="preserve"> finance. 2. </w:t>
      </w:r>
      <w:proofErr w:type="spellStart"/>
      <w:r w:rsidRPr="00116EB9">
        <w:rPr>
          <w:rFonts w:cstheme="minorHAnsi"/>
          <w:color w:val="404040"/>
          <w:shd w:val="clear" w:color="auto" w:fill="FFFFFF"/>
        </w:rPr>
        <w:t>přeprac</w:t>
      </w:r>
      <w:proofErr w:type="spellEnd"/>
      <w:r w:rsidRPr="00116EB9">
        <w:rPr>
          <w:rFonts w:cstheme="minorHAnsi"/>
          <w:color w:val="404040"/>
          <w:shd w:val="clear" w:color="auto" w:fill="FFFFFF"/>
        </w:rPr>
        <w:t xml:space="preserve">. a </w:t>
      </w:r>
      <w:proofErr w:type="spellStart"/>
      <w:r w:rsidRPr="00116EB9">
        <w:rPr>
          <w:rFonts w:cstheme="minorHAnsi"/>
          <w:color w:val="404040"/>
          <w:shd w:val="clear" w:color="auto" w:fill="FFFFFF"/>
        </w:rPr>
        <w:t>dopl</w:t>
      </w:r>
      <w:proofErr w:type="spellEnd"/>
      <w:r w:rsidRPr="00116EB9">
        <w:rPr>
          <w:rFonts w:cstheme="minorHAnsi"/>
          <w:color w:val="404040"/>
          <w:shd w:val="clear" w:color="auto" w:fill="FFFFFF"/>
        </w:rPr>
        <w:t xml:space="preserve">. </w:t>
      </w:r>
      <w:proofErr w:type="spellStart"/>
      <w:r w:rsidRPr="00116EB9">
        <w:rPr>
          <w:rFonts w:cstheme="minorHAnsi"/>
          <w:color w:val="404040"/>
          <w:shd w:val="clear" w:color="auto" w:fill="FFFFFF"/>
        </w:rPr>
        <w:t>vyd</w:t>
      </w:r>
      <w:proofErr w:type="spellEnd"/>
      <w:r w:rsidRPr="00116EB9">
        <w:rPr>
          <w:rFonts w:cstheme="minorHAnsi"/>
          <w:color w:val="404040"/>
          <w:shd w:val="clear" w:color="auto" w:fill="FFFFFF"/>
        </w:rPr>
        <w:t xml:space="preserve">. </w:t>
      </w:r>
      <w:proofErr w:type="gramStart"/>
      <w:r w:rsidRPr="00116EB9">
        <w:rPr>
          <w:rFonts w:cstheme="minorHAnsi"/>
          <w:color w:val="404040"/>
          <w:shd w:val="clear" w:color="auto" w:fill="FFFFFF"/>
        </w:rPr>
        <w:t>Praha :</w:t>
      </w:r>
      <w:proofErr w:type="gramEnd"/>
      <w:r w:rsidRPr="00116EB9">
        <w:rPr>
          <w:rFonts w:cstheme="minorHAnsi"/>
          <w:color w:val="404040"/>
          <w:shd w:val="clear" w:color="auto" w:fill="FFFFFF"/>
        </w:rPr>
        <w:t xml:space="preserve"> C.H. Beck,</w:t>
      </w:r>
    </w:p>
    <w:p w14:paraId="7C0B7B78" w14:textId="1A5E4F9D" w:rsidR="00F41554" w:rsidRPr="00116EB9" w:rsidRDefault="00F41554" w:rsidP="00F41554">
      <w:pPr>
        <w:pStyle w:val="CM-references"/>
        <w:numPr>
          <w:ilvl w:val="0"/>
          <w:numId w:val="0"/>
        </w:numPr>
        <w:ind w:left="567" w:hanging="567"/>
        <w:rPr>
          <w:rFonts w:cstheme="minorHAnsi"/>
          <w:color w:val="404040"/>
          <w:shd w:val="clear" w:color="auto" w:fill="FFFFFF"/>
        </w:rPr>
      </w:pPr>
      <w:r w:rsidRPr="00116EB9">
        <w:rPr>
          <w:rFonts w:cstheme="minorHAnsi"/>
          <w:color w:val="404040"/>
          <w:shd w:val="clear" w:color="auto" w:fill="FFFFFF"/>
        </w:rPr>
        <w:t>2007. 745 s. ISBN 9788071799030.</w:t>
      </w:r>
    </w:p>
    <w:p w14:paraId="7ADFC3E2" w14:textId="52856593" w:rsidR="00F41554" w:rsidRPr="00116EB9" w:rsidRDefault="00F41554" w:rsidP="00F41554">
      <w:pPr>
        <w:pStyle w:val="CM-references"/>
        <w:numPr>
          <w:ilvl w:val="0"/>
          <w:numId w:val="0"/>
        </w:numPr>
        <w:ind w:left="567" w:hanging="567"/>
        <w:rPr>
          <w:rFonts w:cstheme="minorHAnsi"/>
        </w:rPr>
      </w:pPr>
      <w:r w:rsidRPr="00116EB9">
        <w:rPr>
          <w:rFonts w:cstheme="minorHAnsi"/>
        </w:rPr>
        <w:t>[</w:t>
      </w:r>
      <w:r w:rsidRPr="00116EB9">
        <w:rPr>
          <w:rFonts w:cstheme="minorHAnsi"/>
        </w:rPr>
        <w:t>7</w:t>
      </w:r>
      <w:r w:rsidRPr="00116EB9">
        <w:rPr>
          <w:rFonts w:cstheme="minorHAnsi"/>
        </w:rPr>
        <w:t>]</w:t>
      </w:r>
      <w:r w:rsidRPr="00116EB9">
        <w:rPr>
          <w:rFonts w:cstheme="minorHAnsi"/>
        </w:rPr>
        <w:tab/>
      </w:r>
      <w:proofErr w:type="spellStart"/>
      <w:r w:rsidR="00116EB9" w:rsidRPr="00116EB9">
        <w:rPr>
          <w:rFonts w:cstheme="minorHAnsi"/>
        </w:rPr>
        <w:t>Kislingerová</w:t>
      </w:r>
      <w:proofErr w:type="spellEnd"/>
      <w:r w:rsidRPr="00116EB9">
        <w:rPr>
          <w:rFonts w:cstheme="minorHAnsi"/>
        </w:rPr>
        <w:t xml:space="preserve">, Eva. </w:t>
      </w:r>
      <w:proofErr w:type="spellStart"/>
      <w:r w:rsidRPr="00116EB9">
        <w:rPr>
          <w:rFonts w:cstheme="minorHAnsi"/>
        </w:rPr>
        <w:t>Oceňování</w:t>
      </w:r>
      <w:proofErr w:type="spellEnd"/>
      <w:r w:rsidRPr="00116EB9">
        <w:rPr>
          <w:rFonts w:cstheme="minorHAnsi"/>
        </w:rPr>
        <w:t xml:space="preserve"> </w:t>
      </w:r>
      <w:proofErr w:type="spellStart"/>
      <w:r w:rsidRPr="00116EB9">
        <w:rPr>
          <w:rFonts w:cstheme="minorHAnsi"/>
        </w:rPr>
        <w:t>podniku</w:t>
      </w:r>
      <w:proofErr w:type="spellEnd"/>
      <w:r w:rsidRPr="00116EB9">
        <w:rPr>
          <w:rFonts w:cstheme="minorHAnsi"/>
        </w:rPr>
        <w:t xml:space="preserve">. 2. </w:t>
      </w:r>
      <w:proofErr w:type="spellStart"/>
      <w:r w:rsidRPr="00116EB9">
        <w:rPr>
          <w:rFonts w:cstheme="minorHAnsi"/>
        </w:rPr>
        <w:t>přeprac</w:t>
      </w:r>
      <w:proofErr w:type="spellEnd"/>
      <w:r w:rsidRPr="00116EB9">
        <w:rPr>
          <w:rFonts w:cstheme="minorHAnsi"/>
        </w:rPr>
        <w:t xml:space="preserve">. a </w:t>
      </w:r>
      <w:proofErr w:type="spellStart"/>
      <w:r w:rsidRPr="00116EB9">
        <w:rPr>
          <w:rFonts w:cstheme="minorHAnsi"/>
        </w:rPr>
        <w:t>dopl</w:t>
      </w:r>
      <w:proofErr w:type="spellEnd"/>
      <w:r w:rsidRPr="00116EB9">
        <w:rPr>
          <w:rFonts w:cstheme="minorHAnsi"/>
        </w:rPr>
        <w:t xml:space="preserve">. </w:t>
      </w:r>
      <w:proofErr w:type="spellStart"/>
      <w:r w:rsidRPr="00116EB9">
        <w:rPr>
          <w:rFonts w:cstheme="minorHAnsi"/>
        </w:rPr>
        <w:t>vyd</w:t>
      </w:r>
      <w:proofErr w:type="spellEnd"/>
      <w:r w:rsidRPr="00116EB9">
        <w:rPr>
          <w:rFonts w:cstheme="minorHAnsi"/>
        </w:rPr>
        <w:t xml:space="preserve">. </w:t>
      </w:r>
      <w:proofErr w:type="gramStart"/>
      <w:r w:rsidRPr="00116EB9">
        <w:rPr>
          <w:rFonts w:cstheme="minorHAnsi"/>
        </w:rPr>
        <w:t>Praha :</w:t>
      </w:r>
      <w:proofErr w:type="gramEnd"/>
      <w:r w:rsidRPr="00116EB9">
        <w:rPr>
          <w:rFonts w:cstheme="minorHAnsi"/>
        </w:rPr>
        <w:t xml:space="preserve"> C.H. Beck, 2001.</w:t>
      </w:r>
    </w:p>
    <w:p w14:paraId="341F133C" w14:textId="756A9F59" w:rsidR="00F41554" w:rsidRPr="00116EB9" w:rsidRDefault="00F41554" w:rsidP="00F41554">
      <w:pPr>
        <w:pStyle w:val="CM-references"/>
        <w:numPr>
          <w:ilvl w:val="0"/>
          <w:numId w:val="0"/>
        </w:numPr>
        <w:ind w:left="567" w:hanging="567"/>
        <w:rPr>
          <w:rFonts w:cstheme="minorHAnsi"/>
        </w:rPr>
      </w:pPr>
      <w:r w:rsidRPr="00116EB9">
        <w:rPr>
          <w:rFonts w:cstheme="minorHAnsi"/>
        </w:rPr>
        <w:t>367 s. ISBN 8071795291.</w:t>
      </w:r>
    </w:p>
    <w:sectPr w:rsidR="00F41554" w:rsidRPr="00116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99C77" w14:textId="77777777" w:rsidR="0017201B" w:rsidRDefault="0017201B" w:rsidP="00C90DDD">
      <w:pPr>
        <w:spacing w:after="0" w:line="240" w:lineRule="auto"/>
      </w:pPr>
      <w:r>
        <w:separator/>
      </w:r>
    </w:p>
  </w:endnote>
  <w:endnote w:type="continuationSeparator" w:id="0">
    <w:p w14:paraId="5990FEFA" w14:textId="77777777" w:rsidR="0017201B" w:rsidRDefault="0017201B"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C6189" w14:textId="77777777" w:rsidR="0017201B" w:rsidRDefault="0017201B" w:rsidP="00C90DDD">
      <w:pPr>
        <w:spacing w:after="0" w:line="240" w:lineRule="auto"/>
      </w:pPr>
      <w:r>
        <w:separator/>
      </w:r>
    </w:p>
  </w:footnote>
  <w:footnote w:type="continuationSeparator" w:id="0">
    <w:p w14:paraId="7E32FEFE" w14:textId="77777777" w:rsidR="0017201B" w:rsidRDefault="0017201B"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4F7A5251"/>
    <w:multiLevelType w:val="hybridMultilevel"/>
    <w:tmpl w:val="467453A2"/>
    <w:lvl w:ilvl="0" w:tplc="0405000F">
      <w:start w:val="1"/>
      <w:numFmt w:val="decimal"/>
      <w:lvlText w:val="%1."/>
      <w:lvlJc w:val="left"/>
      <w:pPr>
        <w:ind w:left="947" w:hanging="360"/>
      </w:p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21" w15:restartNumberingAfterBreak="0">
    <w:nsid w:val="6D551437"/>
    <w:multiLevelType w:val="multilevel"/>
    <w:tmpl w:val="C2CE0E8C"/>
    <w:numStyleLink w:val="MES-bulletliststyle"/>
  </w:abstractNum>
  <w:abstractNum w:abstractNumId="22"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6"/>
  </w:num>
  <w:num w:numId="3">
    <w:abstractNumId w:val="14"/>
  </w:num>
  <w:num w:numId="4">
    <w:abstractNumId w:val="11"/>
  </w:num>
  <w:num w:numId="5">
    <w:abstractNumId w:val="19"/>
  </w:num>
  <w:num w:numId="6">
    <w:abstractNumId w:val="10"/>
  </w:num>
  <w:num w:numId="7">
    <w:abstractNumId w:val="21"/>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36CB"/>
    <w:rsid w:val="00007A69"/>
    <w:rsid w:val="00027CC6"/>
    <w:rsid w:val="000445A4"/>
    <w:rsid w:val="000747FF"/>
    <w:rsid w:val="000B57A5"/>
    <w:rsid w:val="000D4DC1"/>
    <w:rsid w:val="000F015F"/>
    <w:rsid w:val="000F6904"/>
    <w:rsid w:val="00100AF1"/>
    <w:rsid w:val="00116EB9"/>
    <w:rsid w:val="00155890"/>
    <w:rsid w:val="00157F16"/>
    <w:rsid w:val="00160FDD"/>
    <w:rsid w:val="0017201B"/>
    <w:rsid w:val="001B55F1"/>
    <w:rsid w:val="001C2637"/>
    <w:rsid w:val="00201560"/>
    <w:rsid w:val="00224CC0"/>
    <w:rsid w:val="00273816"/>
    <w:rsid w:val="002B6D28"/>
    <w:rsid w:val="002C320F"/>
    <w:rsid w:val="0032113C"/>
    <w:rsid w:val="00357B75"/>
    <w:rsid w:val="00383F70"/>
    <w:rsid w:val="003C54B2"/>
    <w:rsid w:val="00400E79"/>
    <w:rsid w:val="00403FF0"/>
    <w:rsid w:val="00410622"/>
    <w:rsid w:val="004107F3"/>
    <w:rsid w:val="00412586"/>
    <w:rsid w:val="0042040D"/>
    <w:rsid w:val="00452404"/>
    <w:rsid w:val="00457F69"/>
    <w:rsid w:val="00463973"/>
    <w:rsid w:val="0046473D"/>
    <w:rsid w:val="00477E59"/>
    <w:rsid w:val="00497DB7"/>
    <w:rsid w:val="004A69CB"/>
    <w:rsid w:val="004B0D46"/>
    <w:rsid w:val="004B289B"/>
    <w:rsid w:val="004F742B"/>
    <w:rsid w:val="005066DC"/>
    <w:rsid w:val="005067CF"/>
    <w:rsid w:val="00532D79"/>
    <w:rsid w:val="00550701"/>
    <w:rsid w:val="005531C2"/>
    <w:rsid w:val="005D6392"/>
    <w:rsid w:val="00621403"/>
    <w:rsid w:val="00623613"/>
    <w:rsid w:val="00634D0F"/>
    <w:rsid w:val="00674E5C"/>
    <w:rsid w:val="006846BD"/>
    <w:rsid w:val="00687EEB"/>
    <w:rsid w:val="00692461"/>
    <w:rsid w:val="006B6577"/>
    <w:rsid w:val="006E6AF2"/>
    <w:rsid w:val="00702CEA"/>
    <w:rsid w:val="00722CAD"/>
    <w:rsid w:val="0074008E"/>
    <w:rsid w:val="00753D2C"/>
    <w:rsid w:val="007D2E9C"/>
    <w:rsid w:val="00813897"/>
    <w:rsid w:val="00831E45"/>
    <w:rsid w:val="008641E8"/>
    <w:rsid w:val="00896B61"/>
    <w:rsid w:val="008A0FCA"/>
    <w:rsid w:val="008A414B"/>
    <w:rsid w:val="008C4DC0"/>
    <w:rsid w:val="0092311F"/>
    <w:rsid w:val="00956675"/>
    <w:rsid w:val="00961B88"/>
    <w:rsid w:val="00971082"/>
    <w:rsid w:val="00980087"/>
    <w:rsid w:val="009B51F3"/>
    <w:rsid w:val="009F1726"/>
    <w:rsid w:val="009F62A4"/>
    <w:rsid w:val="00A04167"/>
    <w:rsid w:val="00A105BF"/>
    <w:rsid w:val="00A12C36"/>
    <w:rsid w:val="00A72BDF"/>
    <w:rsid w:val="00AB0B11"/>
    <w:rsid w:val="00AC7646"/>
    <w:rsid w:val="00AE11F5"/>
    <w:rsid w:val="00B13510"/>
    <w:rsid w:val="00B15866"/>
    <w:rsid w:val="00B92437"/>
    <w:rsid w:val="00BB7DB3"/>
    <w:rsid w:val="00C44611"/>
    <w:rsid w:val="00C90DDD"/>
    <w:rsid w:val="00CD7E91"/>
    <w:rsid w:val="00CE0E6F"/>
    <w:rsid w:val="00CE483F"/>
    <w:rsid w:val="00CE4B7E"/>
    <w:rsid w:val="00D1664A"/>
    <w:rsid w:val="00D302F4"/>
    <w:rsid w:val="00D4314D"/>
    <w:rsid w:val="00DB083C"/>
    <w:rsid w:val="00DB72BA"/>
    <w:rsid w:val="00E049F1"/>
    <w:rsid w:val="00E251CF"/>
    <w:rsid w:val="00E336CB"/>
    <w:rsid w:val="00E72793"/>
    <w:rsid w:val="00E756DC"/>
    <w:rsid w:val="00EB6E8A"/>
    <w:rsid w:val="00EF5CA3"/>
    <w:rsid w:val="00F30C5E"/>
    <w:rsid w:val="00F41554"/>
    <w:rsid w:val="00F468AF"/>
    <w:rsid w:val="00F60209"/>
    <w:rsid w:val="00F7401D"/>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FF1"/>
  <w15:docId w15:val="{9B8BB804-F8FB-475A-BA2B-72AF043B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us\Downloads\CM.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sus\Documents\&#8364;kostav\_FIN-Analysis\Fin_anal&#253;za_plus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cs-CZ"/>
              <a:t>Liquidity ratios</a:t>
            </a:r>
            <a:endParaRPr lang="en-US"/>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cs-CZ"/>
        </a:p>
      </c:txPr>
    </c:title>
    <c:autoTitleDeleted val="0"/>
    <c:plotArea>
      <c:layout/>
      <c:lineChart>
        <c:grouping val="standard"/>
        <c:varyColors val="0"/>
        <c:ser>
          <c:idx val="0"/>
          <c:order val="0"/>
          <c:tx>
            <c:strRef>
              <c:f>'Ukazatelé likvidity (2)'!$B$6</c:f>
              <c:strCache>
                <c:ptCount val="1"/>
                <c:pt idx="0">
                  <c:v>III. Grade Liquidity</c:v>
                </c:pt>
              </c:strCache>
            </c:strRef>
          </c:tx>
          <c:spPr>
            <a:ln w="38100" cap="rnd">
              <a:solidFill>
                <a:schemeClr val="accent1"/>
              </a:solidFill>
              <a:round/>
            </a:ln>
            <a:effectLst/>
          </c:spPr>
          <c:marker>
            <c:symbol val="circle"/>
            <c:size val="8"/>
            <c:spPr>
              <a:solidFill>
                <a:schemeClr val="accent1"/>
              </a:solidFill>
              <a:ln>
                <a:noFill/>
              </a:ln>
              <a:effectLst/>
            </c:spPr>
          </c:marker>
          <c:cat>
            <c:numRef>
              <c:f>'Ukazatelé likvidity (2)'!$C$4:$H$4</c:f>
              <c:numCache>
                <c:formatCode>General</c:formatCode>
                <c:ptCount val="6"/>
                <c:pt idx="0">
                  <c:v>2014</c:v>
                </c:pt>
                <c:pt idx="1">
                  <c:v>2015</c:v>
                </c:pt>
                <c:pt idx="2">
                  <c:v>2016</c:v>
                </c:pt>
                <c:pt idx="3">
                  <c:v>2017</c:v>
                </c:pt>
                <c:pt idx="4">
                  <c:v>2018</c:v>
                </c:pt>
                <c:pt idx="5">
                  <c:v>2019</c:v>
                </c:pt>
              </c:numCache>
            </c:numRef>
          </c:cat>
          <c:val>
            <c:numRef>
              <c:f>'Ukazatelé likvidity (2)'!$C$6:$H$6</c:f>
              <c:numCache>
                <c:formatCode>_-* #,##0.000_-;\-* #,##0.000_-;_-* "-"??_-;_-@_-</c:formatCode>
                <c:ptCount val="6"/>
                <c:pt idx="0">
                  <c:v>1.3835149863760219</c:v>
                </c:pt>
                <c:pt idx="1">
                  <c:v>1.7357163908888047</c:v>
                </c:pt>
                <c:pt idx="2">
                  <c:v>1.5094016551986555</c:v>
                </c:pt>
                <c:pt idx="3">
                  <c:v>1.4461998601027521</c:v>
                </c:pt>
                <c:pt idx="4">
                  <c:v>1.5666229273529764</c:v>
                </c:pt>
                <c:pt idx="5">
                  <c:v>1.3864130649689588</c:v>
                </c:pt>
              </c:numCache>
            </c:numRef>
          </c:val>
          <c:smooth val="0"/>
          <c:extLst>
            <c:ext xmlns:c16="http://schemas.microsoft.com/office/drawing/2014/chart" uri="{C3380CC4-5D6E-409C-BE32-E72D297353CC}">
              <c16:uniqueId val="{00000000-362B-43ED-AE65-98B73919DEE3}"/>
            </c:ext>
          </c:extLst>
        </c:ser>
        <c:ser>
          <c:idx val="1"/>
          <c:order val="1"/>
          <c:tx>
            <c:strRef>
              <c:f>'Ukazatelé likvidity (2)'!$B$7</c:f>
              <c:strCache>
                <c:ptCount val="1"/>
                <c:pt idx="0">
                  <c:v>II. Grade Liquidity</c:v>
                </c:pt>
              </c:strCache>
            </c:strRef>
          </c:tx>
          <c:spPr>
            <a:ln w="38100" cap="rnd">
              <a:solidFill>
                <a:schemeClr val="accent2"/>
              </a:solidFill>
              <a:round/>
            </a:ln>
            <a:effectLst/>
          </c:spPr>
          <c:marker>
            <c:symbol val="circle"/>
            <c:size val="8"/>
            <c:spPr>
              <a:solidFill>
                <a:schemeClr val="accent2"/>
              </a:solidFill>
              <a:ln>
                <a:noFill/>
              </a:ln>
              <a:effectLst/>
            </c:spPr>
          </c:marker>
          <c:cat>
            <c:numRef>
              <c:f>'Ukazatelé likvidity (2)'!$C$4:$H$4</c:f>
              <c:numCache>
                <c:formatCode>General</c:formatCode>
                <c:ptCount val="6"/>
                <c:pt idx="0">
                  <c:v>2014</c:v>
                </c:pt>
                <c:pt idx="1">
                  <c:v>2015</c:v>
                </c:pt>
                <c:pt idx="2">
                  <c:v>2016</c:v>
                </c:pt>
                <c:pt idx="3">
                  <c:v>2017</c:v>
                </c:pt>
                <c:pt idx="4">
                  <c:v>2018</c:v>
                </c:pt>
                <c:pt idx="5">
                  <c:v>2019</c:v>
                </c:pt>
              </c:numCache>
            </c:numRef>
          </c:cat>
          <c:val>
            <c:numRef>
              <c:f>'Ukazatelé likvidity (2)'!$C$7:$H$7</c:f>
              <c:numCache>
                <c:formatCode>_-* #,##0.000_-;\-* #,##0.000_-;_-* "-"??_-;_-@_-</c:formatCode>
                <c:ptCount val="6"/>
                <c:pt idx="0">
                  <c:v>1.2326780848579213</c:v>
                </c:pt>
                <c:pt idx="1">
                  <c:v>1.5505031367100333</c:v>
                </c:pt>
                <c:pt idx="2">
                  <c:v>1.1866062085803977</c:v>
                </c:pt>
                <c:pt idx="3">
                  <c:v>1.0700451048023349</c:v>
                </c:pt>
                <c:pt idx="4">
                  <c:v>1.1528887828541889</c:v>
                </c:pt>
                <c:pt idx="5">
                  <c:v>1.1906757878919689</c:v>
                </c:pt>
              </c:numCache>
            </c:numRef>
          </c:val>
          <c:smooth val="0"/>
          <c:extLst>
            <c:ext xmlns:c16="http://schemas.microsoft.com/office/drawing/2014/chart" uri="{C3380CC4-5D6E-409C-BE32-E72D297353CC}">
              <c16:uniqueId val="{00000001-362B-43ED-AE65-98B73919DEE3}"/>
            </c:ext>
          </c:extLst>
        </c:ser>
        <c:ser>
          <c:idx val="3"/>
          <c:order val="2"/>
          <c:tx>
            <c:strRef>
              <c:f>'Ukazatelé likvidity (2)'!$B$8</c:f>
              <c:strCache>
                <c:ptCount val="1"/>
                <c:pt idx="0">
                  <c:v>I. Grade Liquidity</c:v>
                </c:pt>
              </c:strCache>
            </c:strRef>
          </c:tx>
          <c:spPr>
            <a:ln w="38100" cap="rnd">
              <a:solidFill>
                <a:schemeClr val="accent4"/>
              </a:solidFill>
              <a:round/>
            </a:ln>
            <a:effectLst/>
          </c:spPr>
          <c:marker>
            <c:symbol val="circle"/>
            <c:size val="8"/>
            <c:spPr>
              <a:solidFill>
                <a:schemeClr val="accent4"/>
              </a:solidFill>
              <a:ln>
                <a:noFill/>
              </a:ln>
              <a:effectLst/>
            </c:spPr>
          </c:marker>
          <c:cat>
            <c:numRef>
              <c:f>'Ukazatelé likvidity (2)'!$C$4:$H$4</c:f>
              <c:numCache>
                <c:formatCode>General</c:formatCode>
                <c:ptCount val="6"/>
                <c:pt idx="0">
                  <c:v>2014</c:v>
                </c:pt>
                <c:pt idx="1">
                  <c:v>2015</c:v>
                </c:pt>
                <c:pt idx="2">
                  <c:v>2016</c:v>
                </c:pt>
                <c:pt idx="3">
                  <c:v>2017</c:v>
                </c:pt>
                <c:pt idx="4">
                  <c:v>2018</c:v>
                </c:pt>
                <c:pt idx="5">
                  <c:v>2019</c:v>
                </c:pt>
              </c:numCache>
            </c:numRef>
          </c:cat>
          <c:val>
            <c:numRef>
              <c:f>'Ukazatelé likvidity (2)'!$C$8:$H$8</c:f>
              <c:numCache>
                <c:formatCode>_-* #,##0.000_-;\-* #,##0.000_-;_-* "-"??_-;_-@_-</c:formatCode>
                <c:ptCount val="6"/>
                <c:pt idx="0">
                  <c:v>0.25442779291553136</c:v>
                </c:pt>
                <c:pt idx="1">
                  <c:v>0.13334175403140922</c:v>
                </c:pt>
                <c:pt idx="2">
                  <c:v>8.4916130259694966E-2</c:v>
                </c:pt>
                <c:pt idx="3">
                  <c:v>8.7508140572613913E-2</c:v>
                </c:pt>
                <c:pt idx="4">
                  <c:v>0.18223388603920632</c:v>
                </c:pt>
                <c:pt idx="5">
                  <c:v>0.28431333781486023</c:v>
                </c:pt>
              </c:numCache>
            </c:numRef>
          </c:val>
          <c:smooth val="0"/>
          <c:extLst>
            <c:ext xmlns:c16="http://schemas.microsoft.com/office/drawing/2014/chart" uri="{C3380CC4-5D6E-409C-BE32-E72D297353CC}">
              <c16:uniqueId val="{00000002-362B-43ED-AE65-98B73919DEE3}"/>
            </c:ext>
          </c:extLst>
        </c:ser>
        <c:ser>
          <c:idx val="4"/>
          <c:order val="3"/>
          <c:tx>
            <c:strRef>
              <c:f>'Ukazatelé likvidity (2)'!$B$9</c:f>
              <c:strCache>
                <c:ptCount val="1"/>
                <c:pt idx="0">
                  <c:v>Operational (solvency)</c:v>
                </c:pt>
              </c:strCache>
            </c:strRef>
          </c:tx>
          <c:spPr>
            <a:ln w="38100" cap="rnd">
              <a:solidFill>
                <a:schemeClr val="accent5"/>
              </a:solidFill>
              <a:round/>
            </a:ln>
            <a:effectLst/>
          </c:spPr>
          <c:marker>
            <c:symbol val="circle"/>
            <c:size val="8"/>
            <c:spPr>
              <a:solidFill>
                <a:schemeClr val="accent5"/>
              </a:solidFill>
              <a:ln>
                <a:noFill/>
              </a:ln>
              <a:effectLst/>
            </c:spPr>
          </c:marker>
          <c:cat>
            <c:numRef>
              <c:f>'Ukazatelé likvidity (2)'!$C$4:$H$4</c:f>
              <c:numCache>
                <c:formatCode>General</c:formatCode>
                <c:ptCount val="6"/>
                <c:pt idx="0">
                  <c:v>2014</c:v>
                </c:pt>
                <c:pt idx="1">
                  <c:v>2015</c:v>
                </c:pt>
                <c:pt idx="2">
                  <c:v>2016</c:v>
                </c:pt>
                <c:pt idx="3">
                  <c:v>2017</c:v>
                </c:pt>
                <c:pt idx="4">
                  <c:v>2018</c:v>
                </c:pt>
                <c:pt idx="5">
                  <c:v>2019</c:v>
                </c:pt>
              </c:numCache>
            </c:numRef>
          </c:cat>
          <c:val>
            <c:numRef>
              <c:f>'Ukazatelé likvidity (2)'!$C$9:$H$9</c:f>
              <c:numCache>
                <c:formatCode>_-* #,##0.000_-;\-* #,##0.000_-;_-* "-"??_-;_-@_-</c:formatCode>
                <c:ptCount val="6"/>
                <c:pt idx="0">
                  <c:v>0.22637699493966523</c:v>
                </c:pt>
                <c:pt idx="1">
                  <c:v>0.22335901646246473</c:v>
                </c:pt>
                <c:pt idx="2">
                  <c:v>0.12255445984082189</c:v>
                </c:pt>
                <c:pt idx="3">
                  <c:v>0.12228949082225814</c:v>
                </c:pt>
                <c:pt idx="4">
                  <c:v>0.12604874945325859</c:v>
                </c:pt>
                <c:pt idx="5">
                  <c:v>0.13614615050021747</c:v>
                </c:pt>
              </c:numCache>
            </c:numRef>
          </c:val>
          <c:smooth val="0"/>
          <c:extLst>
            <c:ext xmlns:c16="http://schemas.microsoft.com/office/drawing/2014/chart" uri="{C3380CC4-5D6E-409C-BE32-E72D297353CC}">
              <c16:uniqueId val="{00000003-362B-43ED-AE65-98B73919DEE3}"/>
            </c:ext>
          </c:extLst>
        </c:ser>
        <c:dLbls>
          <c:showLegendKey val="0"/>
          <c:showVal val="0"/>
          <c:showCatName val="0"/>
          <c:showSerName val="0"/>
          <c:showPercent val="0"/>
          <c:showBubbleSize val="0"/>
        </c:dLbls>
        <c:marker val="1"/>
        <c:smooth val="0"/>
        <c:axId val="470701920"/>
        <c:axId val="470702576"/>
      </c:lineChart>
      <c:catAx>
        <c:axId val="470701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cs-CZ"/>
          </a:p>
        </c:txPr>
        <c:crossAx val="470702576"/>
        <c:crosses val="autoZero"/>
        <c:auto val="1"/>
        <c:lblAlgn val="ctr"/>
        <c:lblOffset val="100"/>
        <c:noMultiLvlLbl val="0"/>
      </c:catAx>
      <c:valAx>
        <c:axId val="470702576"/>
        <c:scaling>
          <c:orientation val="minMax"/>
        </c:scaling>
        <c:delete val="0"/>
        <c:axPos val="l"/>
        <c:majorGridlines>
          <c:spPr>
            <a:ln w="9525" cap="flat" cmpd="sng" algn="ctr">
              <a:solidFill>
                <a:schemeClr val="tx1">
                  <a:lumMod val="15000"/>
                  <a:lumOff val="85000"/>
                </a:schemeClr>
              </a:solidFill>
              <a:round/>
            </a:ln>
            <a:effectLst/>
          </c:spPr>
        </c:majorGridlines>
        <c:numFmt formatCode="_-* #,##0.000_-;\-* #,##0.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0701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rot="0" vert="horz"/>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0.82727</cdr:x>
      <cdr:y>0.02712</cdr:y>
    </cdr:from>
    <cdr:to>
      <cdr:x>0.96892</cdr:x>
      <cdr:y>0.09817</cdr:y>
    </cdr:to>
    <cdr:sp macro="" textlink="">
      <cdr:nvSpPr>
        <cdr:cNvPr id="3" name="TextovéPole 1">
          <a:extLst xmlns:a="http://schemas.openxmlformats.org/drawingml/2006/main">
            <a:ext uri="{FF2B5EF4-FFF2-40B4-BE49-F238E27FC236}">
              <a16:creationId xmlns:a16="http://schemas.microsoft.com/office/drawing/2014/main" id="{74EFB8FE-CE3B-4637-B0AF-3CFBE5F80D88}"/>
            </a:ext>
          </a:extLst>
        </cdr:cNvPr>
        <cdr:cNvSpPr txBox="1"/>
      </cdr:nvSpPr>
      <cdr:spPr>
        <a:xfrm xmlns:a="http://schemas.openxmlformats.org/drawingml/2006/main">
          <a:off x="12675065" y="118835"/>
          <a:ext cx="2170328" cy="3113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100">
              <a:solidFill>
                <a:schemeClr val="bg1">
                  <a:lumMod val="50000"/>
                </a:schemeClr>
              </a:solidFill>
            </a:rPr>
            <a:t> </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7245972CC5482B9B24F68F1C775474"/>
        <w:category>
          <w:name w:val="Obecné"/>
          <w:gallery w:val="placeholder"/>
        </w:category>
        <w:types>
          <w:type w:val="bbPlcHdr"/>
        </w:types>
        <w:behaviors>
          <w:behavior w:val="content"/>
        </w:behaviors>
        <w:guid w:val="{153FB2F9-6099-4AC7-A52E-BE79F5D11478}"/>
      </w:docPartPr>
      <w:docPartBody>
        <w:p w:rsidR="00037454" w:rsidRDefault="00DC27C1" w:rsidP="00DC27C1">
          <w:pPr>
            <w:pStyle w:val="117245972CC5482B9B24F68F1C775474"/>
          </w:pPr>
          <w:r w:rsidRPr="004F1572">
            <w:rPr>
              <w:rStyle w:val="Zstupntext"/>
            </w:rPr>
            <w:t>Klikněte sem a zadejte text.</w:t>
          </w:r>
        </w:p>
      </w:docPartBody>
    </w:docPart>
    <w:docPart>
      <w:docPartPr>
        <w:name w:val="4D02A7FA82CB47D4991CD901490B8B7F"/>
        <w:category>
          <w:name w:val="Obecné"/>
          <w:gallery w:val="placeholder"/>
        </w:category>
        <w:types>
          <w:type w:val="bbPlcHdr"/>
        </w:types>
        <w:behaviors>
          <w:behavior w:val="content"/>
        </w:behaviors>
        <w:guid w:val="{468457E5-27E2-41C6-9801-18005D976825}"/>
      </w:docPartPr>
      <w:docPartBody>
        <w:p w:rsidR="00037454" w:rsidRDefault="00DC27C1" w:rsidP="00DC27C1">
          <w:pPr>
            <w:pStyle w:val="4D02A7FA82CB47D4991CD901490B8B7F"/>
          </w:pPr>
          <w:r w:rsidRPr="004F1572">
            <w:rPr>
              <w:rStyle w:val="Zstupntext"/>
            </w:rPr>
            <w:t>Klikněte sem a zadejte text.</w:t>
          </w:r>
        </w:p>
      </w:docPartBody>
    </w:docPart>
    <w:docPart>
      <w:docPartPr>
        <w:name w:val="7921C2FC5C9948C18EFC908399DF06D6"/>
        <w:category>
          <w:name w:val="Obecné"/>
          <w:gallery w:val="placeholder"/>
        </w:category>
        <w:types>
          <w:type w:val="bbPlcHdr"/>
        </w:types>
        <w:behaviors>
          <w:behavior w:val="content"/>
        </w:behaviors>
        <w:guid w:val="{51973A43-10AC-44DF-AB17-E424C312B5B0}"/>
      </w:docPartPr>
      <w:docPartBody>
        <w:p w:rsidR="00000000" w:rsidRDefault="00037454" w:rsidP="00037454">
          <w:pPr>
            <w:pStyle w:val="7921C2FC5C9948C18EFC908399DF06D6"/>
          </w:pPr>
          <w:r w:rsidRPr="004F157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C1"/>
    <w:rsid w:val="00037454"/>
    <w:rsid w:val="0092590D"/>
    <w:rsid w:val="00DC27C1"/>
    <w:rsid w:val="00FF6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7454"/>
    <w:rPr>
      <w:color w:val="808080"/>
    </w:rPr>
  </w:style>
  <w:style w:type="paragraph" w:customStyle="1" w:styleId="117245972CC5482B9B24F68F1C775474">
    <w:name w:val="117245972CC5482B9B24F68F1C775474"/>
    <w:rsid w:val="00DC27C1"/>
  </w:style>
  <w:style w:type="paragraph" w:customStyle="1" w:styleId="4D02A7FA82CB47D4991CD901490B8B7F">
    <w:name w:val="4D02A7FA82CB47D4991CD901490B8B7F"/>
    <w:rsid w:val="00DC27C1"/>
  </w:style>
  <w:style w:type="paragraph" w:customStyle="1" w:styleId="7921C2FC5C9948C18EFC908399DF06D6">
    <w:name w:val="7921C2FC5C9948C18EFC908399DF06D6"/>
    <w:rsid w:val="00037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9D813286-CE3F-41B5-B805-F6AE3722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CM.dotx</Template>
  <TotalTime>119</TotalTime>
  <Pages>5</Pages>
  <Words>1140</Words>
  <Characters>6730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Povýšil</dc:creator>
  <cp:lastModifiedBy>Bohdan Povýšil</cp:lastModifiedBy>
  <cp:revision>5</cp:revision>
  <dcterms:created xsi:type="dcterms:W3CDTF">2020-10-21T15:48:00Z</dcterms:created>
  <dcterms:modified xsi:type="dcterms:W3CDTF">2020-10-21T17:40:00Z</dcterms:modified>
</cp:coreProperties>
</file>